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7D" w:rsidRDefault="00EF167D" w:rsidP="005C3692">
      <w:pPr>
        <w:pStyle w:val="BodyText"/>
        <w:rPr>
          <w:b/>
        </w:rPr>
      </w:pPr>
      <w:r w:rsidRPr="00EF167D">
        <w:rPr>
          <w:b/>
          <w:noProof/>
        </w:rPr>
        <w:drawing>
          <wp:inline distT="0" distB="0" distL="0" distR="0" wp14:anchorId="7BA2F8F0" wp14:editId="363506ED">
            <wp:extent cx="2161219" cy="5395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 and Singapo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219" cy="539543"/>
                    </a:xfrm>
                    <a:prstGeom prst="rect">
                      <a:avLst/>
                    </a:prstGeom>
                  </pic:spPr>
                </pic:pic>
              </a:graphicData>
            </a:graphic>
          </wp:inline>
        </w:drawing>
      </w:r>
    </w:p>
    <w:p w:rsidR="00EF167D" w:rsidRDefault="00EF167D" w:rsidP="005C3692">
      <w:pPr>
        <w:pStyle w:val="BodyText"/>
        <w:rPr>
          <w:b/>
        </w:rPr>
      </w:pPr>
    </w:p>
    <w:p w:rsidR="00E83119" w:rsidRDefault="00E83119" w:rsidP="005C3692">
      <w:pPr>
        <w:pStyle w:val="BodyText"/>
        <w:rPr>
          <w:b/>
        </w:rPr>
      </w:pPr>
      <w:bookmarkStart w:id="0" w:name="_GoBack"/>
      <w:bookmarkEnd w:id="0"/>
      <w:r w:rsidRPr="00E83119">
        <w:rPr>
          <w:b/>
        </w:rPr>
        <w:t xml:space="preserve">Recap of the </w:t>
      </w:r>
      <w:r w:rsidR="00DB4C32">
        <w:rPr>
          <w:b/>
        </w:rPr>
        <w:t xml:space="preserve">key </w:t>
      </w:r>
      <w:r>
        <w:rPr>
          <w:b/>
        </w:rPr>
        <w:t>employment law reforms</w:t>
      </w:r>
      <w:r w:rsidR="00DB4C32">
        <w:rPr>
          <w:b/>
        </w:rPr>
        <w:t xml:space="preserve"> coming into force in </w:t>
      </w:r>
      <w:r w:rsidR="00CA7C2D">
        <w:rPr>
          <w:b/>
        </w:rPr>
        <w:t>March and April 2017</w:t>
      </w:r>
    </w:p>
    <w:p w:rsidR="00E83119" w:rsidRPr="00E83119" w:rsidRDefault="00E139B1" w:rsidP="005C3692">
      <w:pPr>
        <w:pStyle w:val="BodyText"/>
        <w:rPr>
          <w:b/>
        </w:rPr>
      </w:pPr>
      <w:r>
        <w:rPr>
          <w:b/>
        </w:rPr>
        <w:t>Here we recap on the key employment law changes which came into force in March and April 2017.</w:t>
      </w:r>
    </w:p>
    <w:tbl>
      <w:tblPr>
        <w:tblW w:w="0" w:type="auto"/>
        <w:tblBorders>
          <w:top w:val="single" w:sz="6" w:space="0" w:color="C6C6C6"/>
          <w:left w:val="single" w:sz="6" w:space="0" w:color="C6C6C6"/>
          <w:bottom w:val="single" w:sz="6" w:space="0" w:color="C6C6C6"/>
          <w:right w:val="single" w:sz="6" w:space="0" w:color="C6C6C6"/>
        </w:tblBorders>
        <w:tblLayout w:type="fixed"/>
        <w:tblLook w:val="04A0" w:firstRow="1" w:lastRow="0" w:firstColumn="1" w:lastColumn="0" w:noHBand="0" w:noVBand="1"/>
      </w:tblPr>
      <w:tblGrid>
        <w:gridCol w:w="2119"/>
        <w:gridCol w:w="3260"/>
        <w:gridCol w:w="9175"/>
      </w:tblGrid>
      <w:tr w:rsidR="00E83119" w:rsidRPr="00E83119" w:rsidTr="006A4E26">
        <w:trPr>
          <w:trHeight w:val="877"/>
        </w:trPr>
        <w:tc>
          <w:tcPr>
            <w:tcW w:w="2119" w:type="dxa"/>
            <w:tcBorders>
              <w:top w:val="single" w:sz="6" w:space="0" w:color="C6C6C6"/>
              <w:left w:val="single" w:sz="6" w:space="0" w:color="C6C6C6"/>
              <w:bottom w:val="single" w:sz="6" w:space="0" w:color="C6C6C6"/>
              <w:right w:val="single" w:sz="6" w:space="0" w:color="C6C6C6"/>
            </w:tcBorders>
            <w:shd w:val="clear" w:color="auto" w:fill="3E8E89" w:themeFill="accent1" w:themeFillShade="BF"/>
            <w:tcMar>
              <w:top w:w="15" w:type="dxa"/>
              <w:left w:w="15" w:type="dxa"/>
              <w:bottom w:w="15" w:type="dxa"/>
              <w:right w:w="15" w:type="dxa"/>
            </w:tcMar>
            <w:vAlign w:val="center"/>
          </w:tcPr>
          <w:p w:rsidR="006A4E26" w:rsidRDefault="006A4E26" w:rsidP="006A4E26">
            <w:pPr>
              <w:spacing w:line="240" w:lineRule="auto"/>
              <w:jc w:val="center"/>
              <w:rPr>
                <w:rFonts w:eastAsia="Times New Roman" w:cstheme="minorHAnsi"/>
                <w:b/>
                <w:szCs w:val="20"/>
              </w:rPr>
            </w:pPr>
          </w:p>
          <w:p w:rsidR="00E83119" w:rsidRDefault="006A4E26" w:rsidP="006A4E26">
            <w:pPr>
              <w:spacing w:line="240" w:lineRule="auto"/>
              <w:jc w:val="center"/>
              <w:rPr>
                <w:rFonts w:eastAsia="Times New Roman" w:cstheme="minorHAnsi"/>
                <w:b/>
                <w:szCs w:val="20"/>
              </w:rPr>
            </w:pPr>
            <w:r w:rsidRPr="006A4E26">
              <w:rPr>
                <w:rFonts w:eastAsia="Times New Roman" w:cstheme="minorHAnsi"/>
                <w:b/>
                <w:szCs w:val="20"/>
              </w:rPr>
              <w:t>DATE</w:t>
            </w:r>
          </w:p>
          <w:p w:rsidR="006A4E26" w:rsidRPr="006A4E26" w:rsidRDefault="006A4E26" w:rsidP="006A4E26">
            <w:pPr>
              <w:spacing w:line="240" w:lineRule="auto"/>
              <w:jc w:val="center"/>
              <w:rPr>
                <w:rFonts w:eastAsia="Times New Roman" w:cstheme="minorHAnsi"/>
                <w:b/>
                <w:szCs w:val="20"/>
              </w:rPr>
            </w:pPr>
          </w:p>
        </w:tc>
        <w:tc>
          <w:tcPr>
            <w:tcW w:w="3260" w:type="dxa"/>
            <w:tcBorders>
              <w:top w:val="single" w:sz="6" w:space="0" w:color="C6C6C6"/>
              <w:left w:val="single" w:sz="6" w:space="0" w:color="C6C6C6"/>
              <w:bottom w:val="single" w:sz="6" w:space="0" w:color="C6C6C6"/>
              <w:right w:val="single" w:sz="6" w:space="0" w:color="C6C6C6"/>
            </w:tcBorders>
            <w:shd w:val="clear" w:color="auto" w:fill="3E8E89" w:themeFill="accent1" w:themeFillShade="BF"/>
            <w:tcMar>
              <w:top w:w="15" w:type="dxa"/>
              <w:left w:w="15" w:type="dxa"/>
              <w:bottom w:w="15" w:type="dxa"/>
              <w:right w:w="15" w:type="dxa"/>
            </w:tcMar>
            <w:vAlign w:val="center"/>
          </w:tcPr>
          <w:p w:rsidR="00E83119" w:rsidRPr="00E83119" w:rsidRDefault="006A4E26" w:rsidP="006A4E26">
            <w:pPr>
              <w:spacing w:line="240" w:lineRule="auto"/>
              <w:jc w:val="center"/>
              <w:rPr>
                <w:rFonts w:eastAsia="Times New Roman" w:cstheme="minorHAnsi"/>
                <w:b/>
                <w:szCs w:val="20"/>
              </w:rPr>
            </w:pPr>
            <w:r>
              <w:rPr>
                <w:rFonts w:eastAsia="Times New Roman" w:cstheme="minorHAnsi"/>
                <w:b/>
                <w:szCs w:val="20"/>
              </w:rPr>
              <w:t>AREA</w:t>
            </w:r>
          </w:p>
        </w:tc>
        <w:tc>
          <w:tcPr>
            <w:tcW w:w="9175" w:type="dxa"/>
            <w:tcBorders>
              <w:top w:val="single" w:sz="6" w:space="0" w:color="C6C6C6"/>
              <w:left w:val="single" w:sz="6" w:space="0" w:color="C6C6C6"/>
              <w:bottom w:val="single" w:sz="6" w:space="0" w:color="C6C6C6"/>
              <w:right w:val="single" w:sz="6" w:space="0" w:color="C6C6C6"/>
            </w:tcBorders>
            <w:shd w:val="clear" w:color="auto" w:fill="3E8E89" w:themeFill="accent1" w:themeFillShade="BF"/>
          </w:tcPr>
          <w:p w:rsidR="006A4E26" w:rsidRDefault="006A4E26" w:rsidP="006A4E26">
            <w:pPr>
              <w:spacing w:line="240" w:lineRule="auto"/>
              <w:jc w:val="center"/>
              <w:rPr>
                <w:rFonts w:eastAsia="Times New Roman" w:cstheme="minorHAnsi"/>
                <w:b/>
                <w:szCs w:val="20"/>
              </w:rPr>
            </w:pPr>
          </w:p>
          <w:p w:rsidR="00E83119" w:rsidRDefault="006A4E26" w:rsidP="006A4E26">
            <w:pPr>
              <w:spacing w:line="240" w:lineRule="auto"/>
              <w:jc w:val="center"/>
              <w:rPr>
                <w:rFonts w:eastAsia="Times New Roman" w:cstheme="minorHAnsi"/>
                <w:b/>
                <w:szCs w:val="20"/>
              </w:rPr>
            </w:pPr>
            <w:r>
              <w:rPr>
                <w:rFonts w:eastAsia="Times New Roman" w:cstheme="minorHAnsi"/>
                <w:b/>
                <w:szCs w:val="20"/>
              </w:rPr>
              <w:t>CHANGE</w:t>
            </w:r>
          </w:p>
          <w:p w:rsidR="006A4E26" w:rsidRPr="00E83119" w:rsidRDefault="006A4E26" w:rsidP="006A4E26">
            <w:pPr>
              <w:spacing w:line="240" w:lineRule="auto"/>
              <w:jc w:val="center"/>
              <w:rPr>
                <w:rFonts w:eastAsia="Times New Roman" w:cstheme="minorHAnsi"/>
                <w:b/>
                <w:szCs w:val="20"/>
              </w:rPr>
            </w:pP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31 March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r>
              <w:rPr>
                <w:rFonts w:eastAsia="Times New Roman" w:cstheme="minorHAnsi"/>
                <w:b/>
                <w:bCs/>
                <w:szCs w:val="20"/>
              </w:rPr>
              <w:t>Gender pay gap</w:t>
            </w: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83119" w:rsidRPr="00E83119"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ntroduction o</w:t>
            </w:r>
            <w:r w:rsidR="00E90F68">
              <w:rPr>
                <w:rFonts w:eastAsia="Times New Roman" w:cstheme="minorHAnsi"/>
                <w:szCs w:val="20"/>
              </w:rPr>
              <w:t xml:space="preserve">f gender pay gap reporting for </w:t>
            </w:r>
            <w:r w:rsidRPr="00E83119">
              <w:rPr>
                <w:rFonts w:eastAsia="Times New Roman" w:cstheme="minorHAnsi"/>
                <w:szCs w:val="20"/>
              </w:rPr>
              <w:t xml:space="preserve">public </w:t>
            </w:r>
            <w:r w:rsidR="00E90F68">
              <w:rPr>
                <w:rFonts w:eastAsia="Times New Roman" w:cstheme="minorHAnsi"/>
                <w:szCs w:val="20"/>
              </w:rPr>
              <w:t>authorities with 250 or more employees</w:t>
            </w:r>
            <w:r w:rsidR="00DB4C32">
              <w:rPr>
                <w:rFonts w:eastAsia="Times New Roman" w:cstheme="minorHAnsi"/>
                <w:szCs w:val="20"/>
              </w:rPr>
              <w:t>.  The rules are substantially the same as for private and volunta</w:t>
            </w:r>
            <w:r w:rsidR="00E90F68">
              <w:rPr>
                <w:rFonts w:eastAsia="Times New Roman" w:cstheme="minorHAnsi"/>
                <w:szCs w:val="20"/>
              </w:rPr>
              <w:t>ry sector employers (see below), albeit that the snapshot date and the deadline for reporting are slightly earlier (i.e. 31 March 2017 and 30 March 2018 respectively).</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1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r>
              <w:rPr>
                <w:rFonts w:eastAsia="Times New Roman" w:cstheme="minorHAnsi"/>
                <w:b/>
                <w:bCs/>
                <w:szCs w:val="20"/>
              </w:rPr>
              <w:t>Apprenticeships</w:t>
            </w: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139B1" w:rsidRDefault="00E83119" w:rsidP="005C3692">
            <w:pPr>
              <w:spacing w:after="240"/>
              <w:rPr>
                <w:rFonts w:eastAsia="Times New Roman" w:cstheme="minorHAnsi"/>
                <w:szCs w:val="20"/>
              </w:rPr>
            </w:pPr>
            <w:r>
              <w:rPr>
                <w:rFonts w:eastAsia="Times New Roman" w:cstheme="minorHAnsi"/>
                <w:szCs w:val="20"/>
              </w:rPr>
              <w:t>E</w:t>
            </w:r>
            <w:r w:rsidRPr="00E83119">
              <w:rPr>
                <w:rFonts w:eastAsia="Times New Roman" w:cstheme="minorHAnsi"/>
                <w:szCs w:val="20"/>
              </w:rPr>
              <w:t>stablishment of</w:t>
            </w:r>
            <w:r w:rsidR="00E90F68">
              <w:rPr>
                <w:rFonts w:eastAsia="Times New Roman" w:cstheme="minorHAnsi"/>
                <w:szCs w:val="20"/>
              </w:rPr>
              <w:t xml:space="preserve"> the</w:t>
            </w:r>
            <w:r w:rsidRPr="00E83119">
              <w:rPr>
                <w:rFonts w:eastAsia="Times New Roman" w:cstheme="minorHAnsi"/>
                <w:szCs w:val="20"/>
              </w:rPr>
              <w:t xml:space="preserve"> </w:t>
            </w:r>
            <w:hyperlink r:id="rId8" w:history="1">
              <w:r w:rsidRPr="007B5813">
                <w:rPr>
                  <w:rStyle w:val="Hyperlink"/>
                  <w:rFonts w:eastAsia="Times New Roman" w:cstheme="minorHAnsi"/>
                  <w:szCs w:val="20"/>
                </w:rPr>
                <w:t>Institute of Apprenticeship</w:t>
              </w:r>
              <w:r w:rsidR="007B5813" w:rsidRPr="007B5813">
                <w:rPr>
                  <w:rStyle w:val="Hyperlink"/>
                  <w:rFonts w:eastAsia="Times New Roman" w:cstheme="minorHAnsi"/>
                  <w:szCs w:val="20"/>
                </w:rPr>
                <w:t>s</w:t>
              </w:r>
            </w:hyperlink>
            <w:r w:rsidRPr="00E83119">
              <w:rPr>
                <w:rFonts w:eastAsia="Times New Roman" w:cstheme="minorHAnsi"/>
                <w:szCs w:val="20"/>
              </w:rPr>
              <w:t xml:space="preserve"> </w:t>
            </w:r>
            <w:r w:rsidR="007B5813">
              <w:rPr>
                <w:rFonts w:eastAsia="Times New Roman" w:cstheme="minorHAnsi"/>
                <w:szCs w:val="20"/>
              </w:rPr>
              <w:t xml:space="preserve">whose primary role is to consider and approve apprenticeship standards submitted by employers and to advise employers on how to access funding for individual apprenticeship standards. </w:t>
            </w:r>
          </w:p>
          <w:p w:rsidR="00E83119" w:rsidRPr="00E83119" w:rsidRDefault="00E139B1" w:rsidP="005C3692">
            <w:pPr>
              <w:spacing w:after="240"/>
              <w:rPr>
                <w:rFonts w:eastAsia="Times New Roman" w:cstheme="minorHAnsi"/>
                <w:szCs w:val="20"/>
              </w:rPr>
            </w:pPr>
            <w:r>
              <w:rPr>
                <w:rFonts w:eastAsia="Times New Roman" w:cstheme="minorHAnsi"/>
                <w:szCs w:val="20"/>
              </w:rPr>
              <w:t>Also on this date, a new offence of mis</w:t>
            </w:r>
            <w:r w:rsidR="005C3692">
              <w:rPr>
                <w:rFonts w:eastAsia="Times New Roman" w:cstheme="minorHAnsi"/>
                <w:szCs w:val="20"/>
              </w:rPr>
              <w:t>u</w:t>
            </w:r>
            <w:r>
              <w:rPr>
                <w:rFonts w:eastAsia="Times New Roman" w:cstheme="minorHAnsi"/>
                <w:szCs w:val="20"/>
              </w:rPr>
              <w:t xml:space="preserve">sing the term "apprenticeship" came into force.  Training providers are banned from using the </w:t>
            </w:r>
            <w:r w:rsidR="005C3692">
              <w:rPr>
                <w:rFonts w:eastAsia="Times New Roman" w:cstheme="minorHAnsi"/>
                <w:szCs w:val="20"/>
              </w:rPr>
              <w:t>term</w:t>
            </w:r>
            <w:r>
              <w:rPr>
                <w:rFonts w:eastAsia="Times New Roman" w:cstheme="minorHAnsi"/>
                <w:szCs w:val="20"/>
              </w:rPr>
              <w:t xml:space="preserve"> except to describe a statutory apprenticeship.  </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1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r>
              <w:rPr>
                <w:rFonts w:eastAsia="Times New Roman" w:cstheme="minorHAnsi"/>
                <w:b/>
                <w:bCs/>
                <w:szCs w:val="20"/>
              </w:rPr>
              <w:t>National Minimum Wage</w:t>
            </w: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7B5813"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ncrease</w:t>
            </w:r>
            <w:r w:rsidR="005C3692">
              <w:rPr>
                <w:rFonts w:eastAsia="Times New Roman" w:cstheme="minorHAnsi"/>
                <w:szCs w:val="20"/>
              </w:rPr>
              <w:t>s</w:t>
            </w:r>
            <w:r w:rsidRPr="00E83119">
              <w:rPr>
                <w:rFonts w:eastAsia="Times New Roman" w:cstheme="minorHAnsi"/>
                <w:szCs w:val="20"/>
              </w:rPr>
              <w:t xml:space="preserve"> to the National Minimum Wage </w:t>
            </w:r>
            <w:r w:rsidR="007B5813">
              <w:rPr>
                <w:rFonts w:eastAsia="Times New Roman" w:cstheme="minorHAnsi"/>
                <w:szCs w:val="20"/>
              </w:rPr>
              <w:t xml:space="preserve">hourly </w:t>
            </w:r>
            <w:r w:rsidRPr="00E83119">
              <w:rPr>
                <w:rFonts w:eastAsia="Times New Roman" w:cstheme="minorHAnsi"/>
                <w:szCs w:val="20"/>
              </w:rPr>
              <w:t>rates</w:t>
            </w:r>
            <w:r w:rsidR="007B5813">
              <w:rPr>
                <w:rFonts w:eastAsia="Times New Roman" w:cstheme="minorHAnsi"/>
                <w:szCs w:val="20"/>
              </w:rPr>
              <w:t xml:space="preserve"> as follows:</w:t>
            </w:r>
          </w:p>
          <w:p w:rsidR="007B5813" w:rsidRDefault="00E06C63" w:rsidP="005C3692">
            <w:pPr>
              <w:pStyle w:val="ListParagraph"/>
              <w:numPr>
                <w:ilvl w:val="0"/>
                <w:numId w:val="30"/>
              </w:numPr>
              <w:spacing w:after="240"/>
              <w:rPr>
                <w:rFonts w:eastAsia="Times New Roman" w:cstheme="minorHAnsi"/>
                <w:szCs w:val="20"/>
              </w:rPr>
            </w:pPr>
            <w:r>
              <w:rPr>
                <w:rFonts w:eastAsia="Times New Roman" w:cstheme="minorHAnsi"/>
                <w:szCs w:val="20"/>
              </w:rPr>
              <w:t xml:space="preserve">Workers aged 25 and over: </w:t>
            </w:r>
            <w:r w:rsidR="007B5813">
              <w:rPr>
                <w:rFonts w:eastAsia="Times New Roman" w:cstheme="minorHAnsi"/>
                <w:szCs w:val="20"/>
              </w:rPr>
              <w:t>£7.50</w:t>
            </w:r>
            <w:r w:rsidR="005C3692">
              <w:rPr>
                <w:rFonts w:eastAsia="Times New Roman" w:cstheme="minorHAnsi"/>
                <w:szCs w:val="20"/>
              </w:rPr>
              <w:t xml:space="preserve"> (i.e. the National Living Wage)</w:t>
            </w:r>
          </w:p>
          <w:p w:rsidR="007B5813" w:rsidRDefault="007B5813" w:rsidP="005C3692">
            <w:pPr>
              <w:pStyle w:val="ListParagraph"/>
              <w:numPr>
                <w:ilvl w:val="0"/>
                <w:numId w:val="30"/>
              </w:numPr>
              <w:spacing w:after="240"/>
              <w:rPr>
                <w:rFonts w:eastAsia="Times New Roman" w:cstheme="minorHAnsi"/>
                <w:szCs w:val="20"/>
              </w:rPr>
            </w:pPr>
            <w:r>
              <w:rPr>
                <w:rFonts w:eastAsia="Times New Roman" w:cstheme="minorHAnsi"/>
                <w:szCs w:val="20"/>
              </w:rPr>
              <w:t>Workers aged 21 –</w:t>
            </w:r>
            <w:r w:rsidR="00E06C63">
              <w:rPr>
                <w:rFonts w:eastAsia="Times New Roman" w:cstheme="minorHAnsi"/>
                <w:szCs w:val="20"/>
              </w:rPr>
              <w:t xml:space="preserve"> 25: £7.05</w:t>
            </w:r>
          </w:p>
          <w:p w:rsidR="00E06C63" w:rsidRDefault="00E06C63" w:rsidP="005C3692">
            <w:pPr>
              <w:pStyle w:val="ListParagraph"/>
              <w:numPr>
                <w:ilvl w:val="0"/>
                <w:numId w:val="30"/>
              </w:numPr>
              <w:spacing w:after="240"/>
              <w:rPr>
                <w:rFonts w:eastAsia="Times New Roman" w:cstheme="minorHAnsi"/>
                <w:szCs w:val="20"/>
              </w:rPr>
            </w:pPr>
            <w:r>
              <w:rPr>
                <w:rFonts w:eastAsia="Times New Roman" w:cstheme="minorHAnsi"/>
                <w:szCs w:val="20"/>
              </w:rPr>
              <w:t>Workers aged 18 – 21: £5.60</w:t>
            </w:r>
          </w:p>
          <w:p w:rsidR="00DB4C32" w:rsidRDefault="00E06C63" w:rsidP="005C3692">
            <w:pPr>
              <w:pStyle w:val="ListParagraph"/>
              <w:numPr>
                <w:ilvl w:val="0"/>
                <w:numId w:val="30"/>
              </w:numPr>
              <w:spacing w:after="240"/>
              <w:rPr>
                <w:rFonts w:eastAsia="Times New Roman" w:cstheme="minorHAnsi"/>
                <w:szCs w:val="20"/>
              </w:rPr>
            </w:pPr>
            <w:r>
              <w:rPr>
                <w:rFonts w:eastAsia="Times New Roman" w:cstheme="minorHAnsi"/>
                <w:szCs w:val="20"/>
              </w:rPr>
              <w:t>Workers under 18: £4.05</w:t>
            </w:r>
          </w:p>
          <w:p w:rsidR="00E83119" w:rsidRPr="005C3692" w:rsidRDefault="00DB4C32" w:rsidP="005C3692">
            <w:pPr>
              <w:pStyle w:val="ListParagraph"/>
              <w:numPr>
                <w:ilvl w:val="0"/>
                <w:numId w:val="30"/>
              </w:numPr>
              <w:spacing w:after="240"/>
              <w:rPr>
                <w:rFonts w:eastAsia="Times New Roman" w:cstheme="minorHAnsi"/>
                <w:szCs w:val="20"/>
              </w:rPr>
            </w:pPr>
            <w:r>
              <w:rPr>
                <w:rFonts w:eastAsia="Times New Roman" w:cstheme="minorHAnsi"/>
                <w:szCs w:val="20"/>
              </w:rPr>
              <w:lastRenderedPageBreak/>
              <w:t>Apprenticeship rate: £3.50</w:t>
            </w:r>
            <w:r w:rsidR="00E06C63">
              <w:rPr>
                <w:rFonts w:eastAsia="Times New Roman" w:cstheme="minorHAnsi"/>
                <w:szCs w:val="20"/>
              </w:rPr>
              <w:t xml:space="preserve"> </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lastRenderedPageBreak/>
              <w:t>2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r w:rsidRPr="00E83119">
              <w:rPr>
                <w:rFonts w:eastAsia="Times New Roman" w:cstheme="minorHAnsi"/>
                <w:b/>
                <w:bCs/>
                <w:szCs w:val="20"/>
              </w:rPr>
              <w:t>S</w:t>
            </w:r>
            <w:r>
              <w:rPr>
                <w:rFonts w:eastAsia="Times New Roman" w:cstheme="minorHAnsi"/>
                <w:b/>
                <w:bCs/>
                <w:szCs w:val="20"/>
              </w:rPr>
              <w:t>tatutory family leave payments</w:t>
            </w: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83119" w:rsidRPr="00E83119"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 xml:space="preserve">ncrease to rates of pay for statutory maternity, adoption and shared parental pay rates </w:t>
            </w:r>
            <w:r w:rsidR="00DB4C32">
              <w:rPr>
                <w:rFonts w:eastAsia="Times New Roman" w:cstheme="minorHAnsi"/>
                <w:szCs w:val="20"/>
              </w:rPr>
              <w:t xml:space="preserve">to £140.98 per week.  The rate for Maternity Allowance </w:t>
            </w:r>
            <w:r w:rsidR="00CA7C2D">
              <w:rPr>
                <w:rFonts w:eastAsia="Times New Roman" w:cstheme="minorHAnsi"/>
                <w:szCs w:val="20"/>
              </w:rPr>
              <w:t xml:space="preserve">rate was </w:t>
            </w:r>
            <w:r w:rsidR="00DB4C32">
              <w:rPr>
                <w:rFonts w:eastAsia="Times New Roman" w:cstheme="minorHAnsi"/>
                <w:szCs w:val="20"/>
              </w:rPr>
              <w:t>also increased to £140.98 per week.</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6A4E26" w:rsidRDefault="006A4E26" w:rsidP="005C3692">
            <w:pPr>
              <w:spacing w:after="240"/>
              <w:jc w:val="left"/>
              <w:rPr>
                <w:rFonts w:eastAsia="Times New Roman" w:cstheme="minorHAnsi"/>
                <w:b/>
                <w:bCs/>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Gender pay gap</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83119" w:rsidRPr="00E83119"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ntroduction of compulsory annual gender pay gap reporting for private and voluntary sector employers with 250 or more employees.</w:t>
            </w:r>
            <w:r w:rsidR="000C1939">
              <w:rPr>
                <w:rFonts w:eastAsia="Times New Roman" w:cstheme="minorHAnsi"/>
                <w:szCs w:val="20"/>
              </w:rPr>
              <w:t xml:space="preserve">  For </w:t>
            </w:r>
            <w:r w:rsidR="00E90F68">
              <w:rPr>
                <w:rFonts w:eastAsia="Times New Roman" w:cstheme="minorHAnsi"/>
                <w:szCs w:val="20"/>
              </w:rPr>
              <w:t>further</w:t>
            </w:r>
            <w:r w:rsidR="000C1939">
              <w:rPr>
                <w:rFonts w:eastAsia="Times New Roman" w:cstheme="minorHAnsi"/>
                <w:szCs w:val="20"/>
              </w:rPr>
              <w:t xml:space="preserve"> information and </w:t>
            </w:r>
            <w:r w:rsidR="00E90F68">
              <w:rPr>
                <w:rFonts w:eastAsia="Times New Roman" w:cstheme="minorHAnsi"/>
                <w:szCs w:val="20"/>
              </w:rPr>
              <w:t xml:space="preserve">details of </w:t>
            </w:r>
            <w:r w:rsidR="000C1939">
              <w:rPr>
                <w:rFonts w:eastAsia="Times New Roman" w:cstheme="minorHAnsi"/>
                <w:szCs w:val="20"/>
              </w:rPr>
              <w:t xml:space="preserve">how Addleshaw Goddard can help you complete your reporting exercise please click </w:t>
            </w:r>
            <w:hyperlink r:id="rId9" w:history="1">
              <w:r w:rsidR="000C1939" w:rsidRPr="000C1939">
                <w:rPr>
                  <w:rStyle w:val="Hyperlink"/>
                  <w:rFonts w:eastAsia="Times New Roman" w:cstheme="minorHAnsi"/>
                  <w:szCs w:val="20"/>
                </w:rPr>
                <w:t>here</w:t>
              </w:r>
            </w:hyperlink>
            <w:r w:rsidR="000C1939">
              <w:rPr>
                <w:rFonts w:eastAsia="Times New Roman" w:cstheme="minorHAnsi"/>
                <w:szCs w:val="20"/>
              </w:rPr>
              <w:t>.</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6A4E26" w:rsidRDefault="006A4E26" w:rsidP="005C3692">
            <w:pPr>
              <w:spacing w:after="240"/>
              <w:jc w:val="left"/>
              <w:rPr>
                <w:rFonts w:eastAsia="Times New Roman" w:cstheme="minorHAnsi"/>
                <w:b/>
                <w:bCs/>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Apprenticeships</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90F68" w:rsidRPr="00E83119" w:rsidRDefault="00E83119" w:rsidP="005C3692">
            <w:pPr>
              <w:spacing w:after="240"/>
              <w:rPr>
                <w:rFonts w:eastAsia="Times New Roman" w:cstheme="minorHAnsi"/>
                <w:szCs w:val="20"/>
              </w:rPr>
            </w:pPr>
            <w:r>
              <w:rPr>
                <w:rFonts w:eastAsia="Times New Roman" w:cstheme="minorHAnsi"/>
                <w:szCs w:val="20"/>
              </w:rPr>
              <w:t xml:space="preserve">Introduction of </w:t>
            </w:r>
            <w:r w:rsidR="000C1939">
              <w:rPr>
                <w:rFonts w:eastAsia="Times New Roman" w:cstheme="minorHAnsi"/>
                <w:szCs w:val="20"/>
              </w:rPr>
              <w:t xml:space="preserve">an </w:t>
            </w:r>
            <w:r>
              <w:rPr>
                <w:rFonts w:eastAsia="Times New Roman" w:cstheme="minorHAnsi"/>
                <w:szCs w:val="20"/>
              </w:rPr>
              <w:t>Apprenticeship L</w:t>
            </w:r>
            <w:r w:rsidRPr="00E83119">
              <w:rPr>
                <w:rFonts w:eastAsia="Times New Roman" w:cstheme="minorHAnsi"/>
                <w:szCs w:val="20"/>
              </w:rPr>
              <w:t>evy</w:t>
            </w:r>
            <w:r w:rsidR="000C1939">
              <w:rPr>
                <w:rFonts w:eastAsia="Times New Roman" w:cstheme="minorHAnsi"/>
                <w:szCs w:val="20"/>
              </w:rPr>
              <w:t xml:space="preserve"> on employers whose annual pay bill exceeds £3 million per year.  Affected employers will be required to</w:t>
            </w:r>
            <w:r w:rsidR="005C3692">
              <w:rPr>
                <w:rFonts w:eastAsia="Times New Roman" w:cstheme="minorHAnsi"/>
                <w:szCs w:val="20"/>
              </w:rPr>
              <w:t xml:space="preserve"> pay</w:t>
            </w:r>
            <w:r w:rsidR="000C1939">
              <w:rPr>
                <w:rFonts w:eastAsia="Times New Roman" w:cstheme="minorHAnsi"/>
                <w:szCs w:val="20"/>
              </w:rPr>
              <w:t xml:space="preserve"> 0.5% of their annual pay bill towards the </w:t>
            </w:r>
            <w:r w:rsidR="005C3692">
              <w:rPr>
                <w:rFonts w:eastAsia="Times New Roman" w:cstheme="minorHAnsi"/>
                <w:szCs w:val="20"/>
              </w:rPr>
              <w:t xml:space="preserve">cost of apprenticeship training.  In turn, they </w:t>
            </w:r>
            <w:r w:rsidR="000C1939">
              <w:rPr>
                <w:rFonts w:eastAsia="Times New Roman" w:cstheme="minorHAnsi"/>
                <w:szCs w:val="20"/>
              </w:rPr>
              <w:t xml:space="preserve">will receive an annual allowance of £15,000 to offset against the cost </w:t>
            </w:r>
            <w:r w:rsidR="00E90F68">
              <w:rPr>
                <w:rFonts w:eastAsia="Times New Roman" w:cstheme="minorHAnsi"/>
                <w:szCs w:val="20"/>
              </w:rPr>
              <w:t xml:space="preserve">apprenticeship training.  For further information please click </w:t>
            </w:r>
            <w:hyperlink r:id="rId10" w:history="1">
              <w:r w:rsidR="00E90F68" w:rsidRPr="00E90F68">
                <w:rPr>
                  <w:rStyle w:val="Hyperlink"/>
                  <w:rFonts w:eastAsia="Times New Roman" w:cstheme="minorHAnsi"/>
                  <w:szCs w:val="20"/>
                </w:rPr>
                <w:t>here</w:t>
              </w:r>
            </w:hyperlink>
            <w:r w:rsidR="005C3692">
              <w:rPr>
                <w:rStyle w:val="Hyperlink"/>
                <w:rFonts w:eastAsia="Times New Roman" w:cstheme="minorHAnsi"/>
                <w:szCs w:val="20"/>
              </w:rPr>
              <w:t>,</w:t>
            </w:r>
            <w:r w:rsidR="00E90F68">
              <w:rPr>
                <w:rFonts w:eastAsia="Times New Roman" w:cstheme="minorHAnsi"/>
                <w:szCs w:val="20"/>
              </w:rPr>
              <w:t xml:space="preserve"> and for details of an eve</w:t>
            </w:r>
            <w:r w:rsidR="005C3692">
              <w:rPr>
                <w:rFonts w:eastAsia="Times New Roman" w:cstheme="minorHAnsi"/>
                <w:szCs w:val="20"/>
              </w:rPr>
              <w:t>nt we are holding on this topic</w:t>
            </w:r>
            <w:r w:rsidR="00E90F68">
              <w:rPr>
                <w:rFonts w:eastAsia="Times New Roman" w:cstheme="minorHAnsi"/>
                <w:szCs w:val="20"/>
              </w:rPr>
              <w:t xml:space="preserve"> please click </w:t>
            </w:r>
            <w:hyperlink r:id="rId11" w:history="1">
              <w:r w:rsidR="00E90F68" w:rsidRPr="00E90F68">
                <w:rPr>
                  <w:rStyle w:val="Hyperlink"/>
                  <w:rFonts w:eastAsia="Times New Roman" w:cstheme="minorHAnsi"/>
                  <w:szCs w:val="20"/>
                </w:rPr>
                <w:t>here</w:t>
              </w:r>
            </w:hyperlink>
            <w:r w:rsidR="00E90F68">
              <w:rPr>
                <w:rFonts w:eastAsia="Times New Roman" w:cstheme="minorHAnsi"/>
                <w:szCs w:val="20"/>
              </w:rPr>
              <w:t>.</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6A4E26" w:rsidRDefault="006A4E26" w:rsidP="005C3692">
            <w:pPr>
              <w:spacing w:after="240"/>
              <w:jc w:val="left"/>
              <w:rPr>
                <w:rFonts w:eastAsia="Times New Roman" w:cstheme="minorHAnsi"/>
                <w:b/>
                <w:bCs/>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Immigration</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90F68" w:rsidRPr="00E83119"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ntroduction of the Immigration Skills Charge</w:t>
            </w:r>
            <w:r w:rsidR="00E90F68">
              <w:rPr>
                <w:rFonts w:eastAsia="Times New Roman" w:cstheme="minorHAnsi"/>
                <w:szCs w:val="20"/>
              </w:rPr>
              <w:t xml:space="preserve"> which will be payable by employers sponsoring workers from outside the EEA.  The skills charge will be £1,000 per year of sponsorship for medium and large sponsors and £364 per year for small and charitable sponsors.  For further information please click </w:t>
            </w:r>
            <w:hyperlink r:id="rId12" w:history="1">
              <w:r w:rsidR="00E90F68" w:rsidRPr="00E90F68">
                <w:rPr>
                  <w:rStyle w:val="Hyperlink"/>
                  <w:rFonts w:eastAsia="Times New Roman" w:cstheme="minorHAnsi"/>
                  <w:szCs w:val="20"/>
                </w:rPr>
                <w:t>here</w:t>
              </w:r>
            </w:hyperlink>
            <w:r w:rsidR="00E90F68">
              <w:rPr>
                <w:rFonts w:eastAsia="Times New Roman" w:cstheme="minorHAnsi"/>
                <w:szCs w:val="20"/>
              </w:rPr>
              <w:t xml:space="preserve">. </w:t>
            </w:r>
            <w:r w:rsidR="005C3692">
              <w:rPr>
                <w:rFonts w:eastAsia="Times New Roman" w:cstheme="minorHAnsi"/>
                <w:szCs w:val="20"/>
              </w:rPr>
              <w:t xml:space="preserve"> We have also reported this month on some additional changes to the Immigration Rules for Tier 2.</w:t>
            </w:r>
          </w:p>
        </w:tc>
      </w:tr>
      <w:tr w:rsidR="00E83119" w:rsidRPr="00E83119" w:rsidTr="006A4E26">
        <w:trPr>
          <w:trHeight w:val="930"/>
        </w:trPr>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5C3692" w:rsidRDefault="00E83119" w:rsidP="005C3692">
            <w:pPr>
              <w:spacing w:after="240"/>
              <w:jc w:val="left"/>
              <w:rPr>
                <w:rFonts w:eastAsia="Times New Roman" w:cstheme="minorHAnsi"/>
                <w:b/>
                <w:bCs/>
                <w:szCs w:val="20"/>
              </w:rPr>
            </w:pPr>
            <w:r>
              <w:rPr>
                <w:rFonts w:eastAsia="Times New Roman" w:cstheme="minorHAnsi"/>
                <w:b/>
                <w:bCs/>
                <w:szCs w:val="20"/>
              </w:rPr>
              <w:t>Statutory sick pay</w:t>
            </w: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83119" w:rsidRPr="00E83119" w:rsidRDefault="00E83119" w:rsidP="005C3692">
            <w:pPr>
              <w:spacing w:after="240"/>
              <w:rPr>
                <w:rFonts w:eastAsia="Times New Roman" w:cstheme="minorHAnsi"/>
                <w:szCs w:val="20"/>
              </w:rPr>
            </w:pPr>
            <w:r>
              <w:rPr>
                <w:rFonts w:eastAsia="Times New Roman" w:cstheme="minorHAnsi"/>
                <w:szCs w:val="20"/>
              </w:rPr>
              <w:t>I</w:t>
            </w:r>
            <w:r w:rsidR="005C3692">
              <w:rPr>
                <w:rFonts w:eastAsia="Times New Roman" w:cstheme="minorHAnsi"/>
                <w:szCs w:val="20"/>
              </w:rPr>
              <w:t>n</w:t>
            </w:r>
            <w:r w:rsidRPr="00E83119">
              <w:rPr>
                <w:rFonts w:eastAsia="Times New Roman" w:cstheme="minorHAnsi"/>
                <w:szCs w:val="20"/>
              </w:rPr>
              <w:t xml:space="preserve">crease to the rate of statutory sick pay </w:t>
            </w:r>
            <w:r w:rsidR="00DB4C32">
              <w:rPr>
                <w:rFonts w:eastAsia="Times New Roman" w:cstheme="minorHAnsi"/>
                <w:szCs w:val="20"/>
              </w:rPr>
              <w:t>to £89.35 per week.</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Tribunal compensation limits</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DB4C32"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 xml:space="preserve">ncrease in </w:t>
            </w:r>
            <w:r w:rsidR="00DB4C32">
              <w:rPr>
                <w:rFonts w:eastAsia="Times New Roman" w:cstheme="minorHAnsi"/>
                <w:szCs w:val="20"/>
              </w:rPr>
              <w:t xml:space="preserve">various </w:t>
            </w:r>
            <w:r w:rsidRPr="00E83119">
              <w:rPr>
                <w:rFonts w:eastAsia="Times New Roman" w:cstheme="minorHAnsi"/>
                <w:szCs w:val="20"/>
              </w:rPr>
              <w:t>Tribunal compensation limits</w:t>
            </w:r>
            <w:r w:rsidR="00DB4C32">
              <w:rPr>
                <w:rFonts w:eastAsia="Times New Roman" w:cstheme="minorHAnsi"/>
                <w:szCs w:val="20"/>
              </w:rPr>
              <w:t>.  The main changes are as follows:</w:t>
            </w:r>
          </w:p>
          <w:p w:rsidR="00DB4C32" w:rsidRDefault="00DB4C32" w:rsidP="005C3692">
            <w:pPr>
              <w:pStyle w:val="ListParagraph"/>
              <w:numPr>
                <w:ilvl w:val="0"/>
                <w:numId w:val="31"/>
              </w:numPr>
              <w:spacing w:after="240"/>
              <w:rPr>
                <w:rFonts w:eastAsia="Times New Roman" w:cstheme="minorHAnsi"/>
                <w:szCs w:val="20"/>
              </w:rPr>
            </w:pPr>
            <w:r>
              <w:rPr>
                <w:rFonts w:eastAsia="Times New Roman" w:cstheme="minorHAnsi"/>
                <w:szCs w:val="20"/>
              </w:rPr>
              <w:t>Maximum "week's pay" (used for calculating the unfair dismissal basic award and statutory redundancy payments): £489</w:t>
            </w:r>
          </w:p>
          <w:p w:rsidR="00DB4C32" w:rsidRDefault="00DB4C32" w:rsidP="005C3692">
            <w:pPr>
              <w:pStyle w:val="ListParagraph"/>
              <w:numPr>
                <w:ilvl w:val="0"/>
                <w:numId w:val="31"/>
              </w:numPr>
              <w:spacing w:after="240"/>
              <w:rPr>
                <w:rFonts w:eastAsia="Times New Roman" w:cstheme="minorHAnsi"/>
                <w:szCs w:val="20"/>
              </w:rPr>
            </w:pPr>
            <w:r>
              <w:rPr>
                <w:rFonts w:eastAsia="Times New Roman" w:cstheme="minorHAnsi"/>
                <w:szCs w:val="20"/>
              </w:rPr>
              <w:t>Maximum unfair dismissal basic award cap: £14,670</w:t>
            </w:r>
          </w:p>
          <w:p w:rsidR="00DB4C32" w:rsidRPr="005C3692" w:rsidRDefault="00DB4C32" w:rsidP="005C3692">
            <w:pPr>
              <w:pStyle w:val="ListParagraph"/>
              <w:numPr>
                <w:ilvl w:val="0"/>
                <w:numId w:val="31"/>
              </w:numPr>
              <w:spacing w:after="240"/>
              <w:rPr>
                <w:rFonts w:eastAsia="Times New Roman" w:cstheme="minorHAnsi"/>
                <w:szCs w:val="20"/>
              </w:rPr>
            </w:pPr>
            <w:r>
              <w:rPr>
                <w:rFonts w:eastAsia="Times New Roman" w:cstheme="minorHAnsi"/>
                <w:szCs w:val="20"/>
              </w:rPr>
              <w:t>Maximum unfair dismissal compensatory award cap: £80,541</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lastRenderedPageBreak/>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Salary sacrifice</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CA7C2D" w:rsidRPr="00E83119" w:rsidRDefault="00E83119" w:rsidP="005C3692">
            <w:pPr>
              <w:spacing w:after="240"/>
              <w:rPr>
                <w:rFonts w:eastAsia="Times New Roman" w:cstheme="minorHAnsi"/>
                <w:szCs w:val="20"/>
              </w:rPr>
            </w:pPr>
            <w:r>
              <w:rPr>
                <w:rFonts w:eastAsia="Times New Roman" w:cstheme="minorHAnsi"/>
                <w:szCs w:val="20"/>
              </w:rPr>
              <w:t>R</w:t>
            </w:r>
            <w:r w:rsidRPr="00E83119">
              <w:rPr>
                <w:rFonts w:eastAsia="Times New Roman" w:cstheme="minorHAnsi"/>
                <w:szCs w:val="20"/>
              </w:rPr>
              <w:t>eforms to the taxation of salary sacrifice schemes</w:t>
            </w:r>
            <w:r w:rsidR="00CA7C2D">
              <w:rPr>
                <w:rFonts w:eastAsia="Times New Roman" w:cstheme="minorHAnsi"/>
                <w:szCs w:val="20"/>
              </w:rPr>
              <w:t xml:space="preserve">.  Under the new rules, certain benefits in kind provided by employers under salary sacrifice schemes will be treated as general earnings and chargeable to income tax and Class 1A employer NICs.  A limited range of benefits in kind are ring-fenced from the reforms and limited grandfathering arrangements are also in place.  For further information please contact a member of our </w:t>
            </w:r>
            <w:hyperlink r:id="rId13" w:history="1">
              <w:r w:rsidR="00CA7C2D" w:rsidRPr="00CA7C2D">
                <w:rPr>
                  <w:rStyle w:val="Hyperlink"/>
                  <w:rFonts w:eastAsia="Times New Roman" w:cstheme="minorHAnsi"/>
                  <w:szCs w:val="20"/>
                </w:rPr>
                <w:t>Employee Incentives team</w:t>
              </w:r>
            </w:hyperlink>
            <w:r w:rsidR="00CA7C2D">
              <w:rPr>
                <w:rFonts w:eastAsia="Times New Roman" w:cstheme="minorHAnsi"/>
                <w:szCs w:val="20"/>
              </w:rPr>
              <w:t>.</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Income tax</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9312CF" w:rsidRDefault="00E83119" w:rsidP="005C3692">
            <w:pPr>
              <w:spacing w:after="240"/>
              <w:rPr>
                <w:rFonts w:eastAsia="Times New Roman" w:cstheme="minorHAnsi"/>
                <w:szCs w:val="20"/>
              </w:rPr>
            </w:pPr>
            <w:r>
              <w:rPr>
                <w:rFonts w:eastAsia="Times New Roman" w:cstheme="minorHAnsi"/>
                <w:szCs w:val="20"/>
              </w:rPr>
              <w:t>C</w:t>
            </w:r>
            <w:r w:rsidRPr="00E83119">
              <w:rPr>
                <w:rFonts w:eastAsia="Times New Roman" w:cstheme="minorHAnsi"/>
                <w:szCs w:val="20"/>
              </w:rPr>
              <w:t>hanges to the income tax personal allowance, thresholds and rates</w:t>
            </w:r>
            <w:r w:rsidR="009312CF">
              <w:rPr>
                <w:rFonts w:eastAsia="Times New Roman" w:cstheme="minorHAnsi"/>
                <w:szCs w:val="20"/>
              </w:rPr>
              <w:t>.  The changes are as follows:</w:t>
            </w:r>
          </w:p>
          <w:p w:rsidR="009312CF" w:rsidRDefault="009312CF" w:rsidP="005C3692">
            <w:pPr>
              <w:pStyle w:val="ListParagraph"/>
              <w:numPr>
                <w:ilvl w:val="0"/>
                <w:numId w:val="32"/>
              </w:numPr>
              <w:spacing w:after="240"/>
              <w:rPr>
                <w:rFonts w:eastAsia="Times New Roman" w:cstheme="minorHAnsi"/>
                <w:szCs w:val="20"/>
              </w:rPr>
            </w:pPr>
            <w:r>
              <w:rPr>
                <w:rFonts w:eastAsia="Times New Roman" w:cstheme="minorHAnsi"/>
                <w:szCs w:val="20"/>
              </w:rPr>
              <w:t>Personal allowance for income tax: £11,500</w:t>
            </w:r>
          </w:p>
          <w:p w:rsidR="009312CF" w:rsidRDefault="009312CF" w:rsidP="005C3692">
            <w:pPr>
              <w:pStyle w:val="ListParagraph"/>
              <w:numPr>
                <w:ilvl w:val="0"/>
                <w:numId w:val="32"/>
              </w:numPr>
              <w:spacing w:after="240"/>
              <w:rPr>
                <w:rFonts w:eastAsia="Times New Roman" w:cstheme="minorHAnsi"/>
                <w:szCs w:val="20"/>
              </w:rPr>
            </w:pPr>
            <w:r>
              <w:rPr>
                <w:rFonts w:eastAsia="Times New Roman" w:cstheme="minorHAnsi"/>
                <w:szCs w:val="20"/>
              </w:rPr>
              <w:t>Basic rate limit for 2017/18: £33,500</w:t>
            </w:r>
          </w:p>
          <w:p w:rsidR="009312CF" w:rsidRPr="005C3692" w:rsidRDefault="005C3692" w:rsidP="005C3692">
            <w:pPr>
              <w:pStyle w:val="ListParagraph"/>
              <w:numPr>
                <w:ilvl w:val="0"/>
                <w:numId w:val="32"/>
              </w:numPr>
              <w:spacing w:after="240"/>
              <w:rPr>
                <w:rFonts w:eastAsia="Times New Roman" w:cstheme="minorHAnsi"/>
                <w:szCs w:val="20"/>
              </w:rPr>
            </w:pPr>
            <w:r>
              <w:rPr>
                <w:rFonts w:eastAsia="Times New Roman" w:cstheme="minorHAnsi"/>
                <w:szCs w:val="20"/>
              </w:rPr>
              <w:t>High rate threshold: £45,000</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E83119" w:rsidP="005C3692">
            <w:pPr>
              <w:spacing w:after="240"/>
              <w:jc w:val="left"/>
              <w:rPr>
                <w:rFonts w:eastAsia="Times New Roman" w:cstheme="minorHAnsi"/>
                <w:szCs w:val="20"/>
              </w:rPr>
            </w:pPr>
            <w:r w:rsidRPr="00E83119">
              <w:rPr>
                <w:rFonts w:eastAsia="Times New Roman" w:cstheme="minorHAnsi"/>
                <w:szCs w:val="20"/>
              </w:rPr>
              <w:t>6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Pr="00E83119" w:rsidRDefault="00E83119" w:rsidP="005C3692">
            <w:pPr>
              <w:spacing w:after="240"/>
              <w:jc w:val="left"/>
              <w:rPr>
                <w:rFonts w:eastAsia="Times New Roman" w:cstheme="minorHAnsi"/>
                <w:szCs w:val="20"/>
              </w:rPr>
            </w:pPr>
          </w:p>
          <w:p w:rsidR="00E83119" w:rsidRDefault="00CA7C2D" w:rsidP="005C3692">
            <w:pPr>
              <w:spacing w:after="240"/>
              <w:jc w:val="left"/>
              <w:rPr>
                <w:rFonts w:eastAsia="Times New Roman" w:cstheme="minorHAnsi"/>
                <w:b/>
                <w:bCs/>
                <w:szCs w:val="20"/>
              </w:rPr>
            </w:pPr>
            <w:r>
              <w:rPr>
                <w:rFonts w:eastAsia="Times New Roman" w:cstheme="minorHAnsi"/>
                <w:b/>
                <w:bCs/>
                <w:szCs w:val="20"/>
              </w:rPr>
              <w:t>Pensions a</w:t>
            </w:r>
            <w:r w:rsidR="00E83119">
              <w:rPr>
                <w:rFonts w:eastAsia="Times New Roman" w:cstheme="minorHAnsi"/>
                <w:b/>
                <w:bCs/>
                <w:szCs w:val="20"/>
              </w:rPr>
              <w:t>uto-enrolment</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E139B1" w:rsidRDefault="00E83119" w:rsidP="005C3692">
            <w:pPr>
              <w:spacing w:after="240"/>
              <w:rPr>
                <w:rFonts w:eastAsia="Times New Roman" w:cstheme="minorHAnsi"/>
                <w:szCs w:val="20"/>
              </w:rPr>
            </w:pPr>
            <w:r>
              <w:rPr>
                <w:rFonts w:eastAsia="Times New Roman" w:cstheme="minorHAnsi"/>
                <w:szCs w:val="20"/>
              </w:rPr>
              <w:t>C</w:t>
            </w:r>
            <w:r w:rsidRPr="00E83119">
              <w:rPr>
                <w:rFonts w:eastAsia="Times New Roman" w:cstheme="minorHAnsi"/>
                <w:szCs w:val="20"/>
              </w:rPr>
              <w:t>hanges to the earnings trigger and qualifying earnings band limits in relation to pensions auto-enrolment</w:t>
            </w:r>
            <w:r w:rsidR="00E139B1">
              <w:rPr>
                <w:rFonts w:eastAsia="Times New Roman" w:cstheme="minorHAnsi"/>
                <w:szCs w:val="20"/>
              </w:rPr>
              <w:t xml:space="preserve"> as follows:</w:t>
            </w:r>
          </w:p>
          <w:p w:rsidR="00E139B1" w:rsidRDefault="00E139B1" w:rsidP="005C3692">
            <w:pPr>
              <w:pStyle w:val="ListParagraph"/>
              <w:numPr>
                <w:ilvl w:val="0"/>
                <w:numId w:val="33"/>
              </w:numPr>
              <w:spacing w:after="240"/>
              <w:rPr>
                <w:rFonts w:eastAsia="Times New Roman" w:cstheme="minorHAnsi"/>
                <w:szCs w:val="20"/>
              </w:rPr>
            </w:pPr>
            <w:r>
              <w:rPr>
                <w:rFonts w:eastAsia="Times New Roman" w:cstheme="minorHAnsi"/>
                <w:szCs w:val="20"/>
              </w:rPr>
              <w:t>The earnings trigger stays at £10,000</w:t>
            </w:r>
          </w:p>
          <w:p w:rsidR="00E139B1" w:rsidRDefault="00E139B1" w:rsidP="005C3692">
            <w:pPr>
              <w:pStyle w:val="ListParagraph"/>
              <w:numPr>
                <w:ilvl w:val="0"/>
                <w:numId w:val="33"/>
              </w:numPr>
              <w:spacing w:after="240"/>
              <w:rPr>
                <w:rFonts w:eastAsia="Times New Roman" w:cstheme="minorHAnsi"/>
                <w:szCs w:val="20"/>
              </w:rPr>
            </w:pPr>
            <w:r>
              <w:rPr>
                <w:rFonts w:eastAsia="Times New Roman" w:cstheme="minorHAnsi"/>
                <w:szCs w:val="20"/>
              </w:rPr>
              <w:t>The lower limit of the qualifying earnings band increased to £5,876</w:t>
            </w:r>
          </w:p>
          <w:p w:rsidR="00E83119" w:rsidRPr="005C3692" w:rsidRDefault="00E139B1" w:rsidP="005C3692">
            <w:pPr>
              <w:pStyle w:val="ListParagraph"/>
              <w:numPr>
                <w:ilvl w:val="0"/>
                <w:numId w:val="33"/>
              </w:numPr>
              <w:spacing w:after="240"/>
              <w:rPr>
                <w:rFonts w:eastAsia="Times New Roman" w:cstheme="minorHAnsi"/>
                <w:szCs w:val="20"/>
              </w:rPr>
            </w:pPr>
            <w:r>
              <w:rPr>
                <w:rFonts w:eastAsia="Times New Roman" w:cstheme="minorHAnsi"/>
                <w:szCs w:val="20"/>
              </w:rPr>
              <w:t>The upper limit of the qualifying earnings band increased to £45,000</w:t>
            </w:r>
          </w:p>
        </w:tc>
      </w:tr>
      <w:tr w:rsidR="00E83119" w:rsidRPr="00E83119" w:rsidTr="006A4E26">
        <w:tc>
          <w:tcPr>
            <w:tcW w:w="2119" w:type="dxa"/>
            <w:tcBorders>
              <w:top w:val="single" w:sz="6" w:space="0" w:color="C6C6C6"/>
              <w:left w:val="single" w:sz="6" w:space="0" w:color="C6C6C6"/>
              <w:bottom w:val="single" w:sz="6" w:space="0" w:color="C6C6C6"/>
              <w:right w:val="single" w:sz="6" w:space="0" w:color="C6C6C6"/>
            </w:tcBorders>
            <w:shd w:val="clear" w:color="auto" w:fill="BCE2E0" w:themeFill="accent1" w:themeFillTint="66"/>
            <w:tcMar>
              <w:top w:w="15" w:type="dxa"/>
              <w:left w:w="15" w:type="dxa"/>
              <w:bottom w:w="15" w:type="dxa"/>
              <w:right w:w="15" w:type="dxa"/>
            </w:tcMar>
            <w:vAlign w:val="center"/>
            <w:hideMark/>
          </w:tcPr>
          <w:p w:rsidR="00E83119" w:rsidRPr="00E83119" w:rsidRDefault="009312CF" w:rsidP="005C3692">
            <w:pPr>
              <w:spacing w:after="240"/>
              <w:jc w:val="left"/>
              <w:rPr>
                <w:rFonts w:eastAsia="Times New Roman" w:cstheme="minorHAnsi"/>
                <w:szCs w:val="20"/>
              </w:rPr>
            </w:pPr>
            <w:r>
              <w:rPr>
                <w:rFonts w:eastAsia="Times New Roman" w:cstheme="minorHAnsi"/>
                <w:szCs w:val="20"/>
              </w:rPr>
              <w:t>21</w:t>
            </w:r>
            <w:r w:rsidR="00E83119" w:rsidRPr="00E83119">
              <w:rPr>
                <w:rFonts w:eastAsia="Times New Roman" w:cstheme="minorHAnsi"/>
                <w:szCs w:val="20"/>
              </w:rPr>
              <w:t xml:space="preserve"> April 2017</w:t>
            </w:r>
          </w:p>
        </w:tc>
        <w:tc>
          <w:tcPr>
            <w:tcW w:w="3260"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Mar>
              <w:top w:w="15" w:type="dxa"/>
              <w:left w:w="15" w:type="dxa"/>
              <w:bottom w:w="15" w:type="dxa"/>
              <w:right w:w="15" w:type="dxa"/>
            </w:tcMar>
            <w:vAlign w:val="center"/>
          </w:tcPr>
          <w:p w:rsidR="00E83119" w:rsidRDefault="00E83119" w:rsidP="005C3692">
            <w:pPr>
              <w:spacing w:after="240"/>
              <w:jc w:val="left"/>
              <w:rPr>
                <w:rFonts w:eastAsia="Times New Roman" w:cstheme="minorHAnsi"/>
                <w:b/>
                <w:bCs/>
                <w:szCs w:val="20"/>
              </w:rPr>
            </w:pPr>
          </w:p>
          <w:p w:rsidR="00E83119" w:rsidRDefault="00E83119" w:rsidP="005C3692">
            <w:pPr>
              <w:spacing w:after="240"/>
              <w:jc w:val="left"/>
              <w:rPr>
                <w:rFonts w:eastAsia="Times New Roman" w:cstheme="minorHAnsi"/>
                <w:b/>
                <w:bCs/>
                <w:szCs w:val="20"/>
              </w:rPr>
            </w:pPr>
            <w:r>
              <w:rPr>
                <w:rFonts w:eastAsia="Times New Roman" w:cstheme="minorHAnsi"/>
                <w:b/>
                <w:bCs/>
                <w:szCs w:val="20"/>
              </w:rPr>
              <w:t>Tax-free childcare scheme</w:t>
            </w:r>
          </w:p>
          <w:p w:rsidR="00E83119" w:rsidRPr="00E83119" w:rsidRDefault="00E83119" w:rsidP="005C3692">
            <w:pPr>
              <w:spacing w:after="240"/>
              <w:jc w:val="left"/>
              <w:rPr>
                <w:rFonts w:eastAsia="Times New Roman" w:cstheme="minorHAnsi"/>
                <w:szCs w:val="20"/>
              </w:rPr>
            </w:pPr>
          </w:p>
        </w:tc>
        <w:tc>
          <w:tcPr>
            <w:tcW w:w="9175" w:type="dxa"/>
            <w:tcBorders>
              <w:top w:val="single" w:sz="6" w:space="0" w:color="C6C6C6"/>
              <w:left w:val="single" w:sz="6" w:space="0" w:color="C6C6C6"/>
              <w:bottom w:val="single" w:sz="6" w:space="0" w:color="C6C6C6"/>
              <w:right w:val="single" w:sz="6" w:space="0" w:color="C6C6C6"/>
            </w:tcBorders>
            <w:shd w:val="clear" w:color="auto" w:fill="DDF0EF" w:themeFill="accent1" w:themeFillTint="33"/>
          </w:tcPr>
          <w:p w:rsidR="009312CF" w:rsidRPr="00E83119" w:rsidRDefault="00E83119" w:rsidP="005C3692">
            <w:pPr>
              <w:spacing w:after="240"/>
              <w:rPr>
                <w:rFonts w:eastAsia="Times New Roman" w:cstheme="minorHAnsi"/>
                <w:szCs w:val="20"/>
              </w:rPr>
            </w:pPr>
            <w:r>
              <w:rPr>
                <w:rFonts w:eastAsia="Times New Roman" w:cstheme="minorHAnsi"/>
                <w:szCs w:val="20"/>
              </w:rPr>
              <w:t>I</w:t>
            </w:r>
            <w:r w:rsidRPr="00E83119">
              <w:rPr>
                <w:rFonts w:eastAsia="Times New Roman" w:cstheme="minorHAnsi"/>
                <w:szCs w:val="20"/>
              </w:rPr>
              <w:t xml:space="preserve">ntroduction of the </w:t>
            </w:r>
            <w:r>
              <w:rPr>
                <w:rFonts w:eastAsia="Times New Roman" w:cstheme="minorHAnsi"/>
                <w:szCs w:val="20"/>
              </w:rPr>
              <w:t xml:space="preserve">tax-free childcare </w:t>
            </w:r>
            <w:r w:rsidRPr="00E83119">
              <w:rPr>
                <w:rFonts w:eastAsia="Times New Roman" w:cstheme="minorHAnsi"/>
                <w:szCs w:val="20"/>
              </w:rPr>
              <w:t>scheme which is due to replace childcare vouchers</w:t>
            </w:r>
            <w:r w:rsidR="009312CF">
              <w:rPr>
                <w:rFonts w:eastAsia="Times New Roman" w:cstheme="minorHAnsi"/>
                <w:szCs w:val="20"/>
              </w:rPr>
              <w:t>.  Under the scheme the Government will make a 20% contribution to childcare costs, up to a maximum of £2,000 per year for children under 12 years old (or £4,000 per year for disabled children under 17 years old).  For further i</w:t>
            </w:r>
            <w:r w:rsidR="00912EBB">
              <w:rPr>
                <w:rFonts w:eastAsia="Times New Roman" w:cstheme="minorHAnsi"/>
                <w:szCs w:val="20"/>
              </w:rPr>
              <w:t xml:space="preserve">nformation please click </w:t>
            </w:r>
            <w:hyperlink r:id="rId14" w:history="1">
              <w:r w:rsidR="00912EBB" w:rsidRPr="00912EBB">
                <w:rPr>
                  <w:rStyle w:val="Hyperlink"/>
                  <w:rFonts w:eastAsia="Times New Roman" w:cstheme="minorHAnsi"/>
                  <w:szCs w:val="20"/>
                </w:rPr>
                <w:t>here</w:t>
              </w:r>
            </w:hyperlink>
            <w:r w:rsidR="00912EBB">
              <w:rPr>
                <w:rFonts w:eastAsia="Times New Roman" w:cstheme="minorHAnsi"/>
                <w:szCs w:val="20"/>
              </w:rPr>
              <w:t>.</w:t>
            </w:r>
          </w:p>
        </w:tc>
      </w:tr>
    </w:tbl>
    <w:p w:rsidR="00E83119" w:rsidRDefault="00E83119" w:rsidP="005C3692">
      <w:pPr>
        <w:pStyle w:val="BodyText"/>
      </w:pPr>
    </w:p>
    <w:p w:rsidR="005A6488" w:rsidRDefault="005A6488" w:rsidP="005C3692">
      <w:pPr>
        <w:pStyle w:val="BodyText"/>
      </w:pPr>
    </w:p>
    <w:sectPr w:rsidR="005A6488" w:rsidSect="00EF167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5" w:right="1134" w:bottom="1418" w:left="1134" w:header="567" w:footer="425"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19" w:rsidRDefault="00E83119" w:rsidP="00626280">
      <w:r>
        <w:separator/>
      </w:r>
    </w:p>
  </w:endnote>
  <w:endnote w:type="continuationSeparator" w:id="0">
    <w:p w:rsidR="00E83119" w:rsidRDefault="00E83119"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DF" w:rsidRDefault="000E6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ocument Reference"/>
      <w:tag w:val="Document Reference"/>
      <w:id w:val="-577825079"/>
      <w:text/>
    </w:sdtPr>
    <w:sdtEndPr/>
    <w:sdtContent>
      <w:p w:rsidR="00626280" w:rsidRDefault="009E3C16">
        <w:pPr>
          <w:pStyle w:val="Footer"/>
        </w:pPr>
        <w:r>
          <w:t>7. RECAP OF THE KEY EMPLOYMENT LAW REFORMS COMING INTO FORCE IN MARCH AND APRIL 2017.DOCX [10-10250138-1]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DF" w:rsidRDefault="000E6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19" w:rsidRDefault="00E83119" w:rsidP="00626280">
      <w:r>
        <w:separator/>
      </w:r>
    </w:p>
  </w:footnote>
  <w:footnote w:type="continuationSeparator" w:id="0">
    <w:p w:rsidR="00E83119" w:rsidRDefault="00E83119" w:rsidP="0062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DF" w:rsidRDefault="000E6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DF" w:rsidRDefault="000E6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DF" w:rsidRDefault="000E6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15569C"/>
    <w:multiLevelType w:val="multilevel"/>
    <w:tmpl w:val="D6F8960E"/>
    <w:numStyleLink w:val="NumberingSchedulesHeadings"/>
  </w:abstractNum>
  <w:abstractNum w:abstractNumId="6" w15:restartNumberingAfterBreak="0">
    <w:nsid w:val="13265CED"/>
    <w:multiLevelType w:val="multilevel"/>
    <w:tmpl w:val="77E8621C"/>
    <w:lvl w:ilvl="0">
      <w:start w:val="1"/>
      <w:numFmt w:val="none"/>
      <w:pStyle w:val="TheAppendix"/>
      <w:lvlText w:val="THE APPENDIX"/>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3710B5A"/>
    <w:multiLevelType w:val="multilevel"/>
    <w:tmpl w:val="48DA4548"/>
    <w:numStyleLink w:val="NumberingPrecedentNotes"/>
  </w:abstractNum>
  <w:abstractNum w:abstractNumId="8"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717B"/>
    <w:multiLevelType w:val="multilevel"/>
    <w:tmpl w:val="F2CC46F2"/>
    <w:numStyleLink w:val="NumberingTheSchedule"/>
  </w:abstractNum>
  <w:abstractNum w:abstractNumId="10" w15:restartNumberingAfterBreak="0">
    <w:nsid w:val="21A31A04"/>
    <w:multiLevelType w:val="hybridMultilevel"/>
    <w:tmpl w:val="65FC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2" w15:restartNumberingAfterBreak="0">
    <w:nsid w:val="3697777A"/>
    <w:multiLevelType w:val="hybridMultilevel"/>
    <w:tmpl w:val="CBAC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16C1F0B"/>
    <w:multiLevelType w:val="multilevel"/>
    <w:tmpl w:val="EF8A22A6"/>
    <w:numStyleLink w:val="NumberingSchedules"/>
  </w:abstractNum>
  <w:abstractNum w:abstractNumId="15"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61C20C92"/>
    <w:multiLevelType w:val="hybridMultilevel"/>
    <w:tmpl w:val="BE1C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5EB2972"/>
    <w:multiLevelType w:val="multilevel"/>
    <w:tmpl w:val="35F67D14"/>
    <w:numStyleLink w:val="NumberingParties"/>
  </w:abstractNum>
  <w:abstractNum w:abstractNumId="24" w15:restartNumberingAfterBreak="0">
    <w:nsid w:val="675D27BC"/>
    <w:multiLevelType w:val="multilevel"/>
    <w:tmpl w:val="62FA6FC8"/>
    <w:numStyleLink w:val="AppendixNumbering"/>
  </w:abstractNum>
  <w:abstractNum w:abstractNumId="25" w15:restartNumberingAfterBreak="0">
    <w:nsid w:val="69E951BB"/>
    <w:multiLevelType w:val="hybridMultilevel"/>
    <w:tmpl w:val="5930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5"/>
  </w:num>
  <w:num w:numId="3">
    <w:abstractNumId w:val="16"/>
  </w:num>
  <w:num w:numId="4">
    <w:abstractNumId w:val="11"/>
  </w:num>
  <w:num w:numId="5">
    <w:abstractNumId w:val="18"/>
  </w:num>
  <w:num w:numId="6">
    <w:abstractNumId w:val="2"/>
  </w:num>
  <w:num w:numId="7">
    <w:abstractNumId w:val="1"/>
  </w:num>
  <w:num w:numId="8">
    <w:abstractNumId w:val="26"/>
  </w:num>
  <w:num w:numId="9">
    <w:abstractNumId w:val="4"/>
  </w:num>
  <w:num w:numId="10">
    <w:abstractNumId w:val="22"/>
  </w:num>
  <w:num w:numId="11">
    <w:abstractNumId w:val="0"/>
  </w:num>
  <w:num w:numId="12">
    <w:abstractNumId w:val="13"/>
  </w:num>
  <w:num w:numId="13">
    <w:abstractNumId w:val="19"/>
  </w:num>
  <w:num w:numId="14">
    <w:abstractNumId w:val="20"/>
  </w:num>
  <w:num w:numId="15">
    <w:abstractNumId w:val="8"/>
  </w:num>
  <w:num w:numId="16">
    <w:abstractNumId w:val="15"/>
  </w:num>
  <w:num w:numId="17">
    <w:abstractNumId w:val="24"/>
  </w:num>
  <w:num w:numId="18">
    <w:abstractNumId w:val="13"/>
  </w:num>
  <w:num w:numId="19">
    <w:abstractNumId w:val="11"/>
  </w:num>
  <w:num w:numId="20">
    <w:abstractNumId w:val="18"/>
  </w:num>
  <w:num w:numId="21">
    <w:abstractNumId w:val="2"/>
  </w:num>
  <w:num w:numId="22">
    <w:abstractNumId w:val="1"/>
  </w:num>
  <w:num w:numId="23">
    <w:abstractNumId w:val="7"/>
  </w:num>
  <w:num w:numId="24">
    <w:abstractNumId w:val="5"/>
  </w:num>
  <w:num w:numId="25">
    <w:abstractNumId w:val="9"/>
  </w:num>
  <w:num w:numId="26">
    <w:abstractNumId w:val="14"/>
  </w:num>
  <w:num w:numId="27">
    <w:abstractNumId w:val="17"/>
  </w:num>
  <w:num w:numId="28">
    <w:abstractNumId w:val="6"/>
  </w:num>
  <w:num w:numId="29">
    <w:abstractNumId w:val="23"/>
  </w:num>
  <w:num w:numId="30">
    <w:abstractNumId w:val="10"/>
  </w:num>
  <w:num w:numId="31">
    <w:abstractNumId w:val="21"/>
  </w:num>
  <w:num w:numId="32">
    <w:abstractNumId w:val="12"/>
  </w:num>
  <w:num w:numId="3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
    <w:docVar w:name="TMS_Office_ID" w:val="5"/>
    <w:docVar w:name="TMS_Template_ID" w:val="221"/>
    <w:docVar w:name="TMS_Unit_ID" w:val="30"/>
  </w:docVars>
  <w:rsids>
    <w:rsidRoot w:val="00E83119"/>
    <w:rsid w:val="00017C7C"/>
    <w:rsid w:val="00046255"/>
    <w:rsid w:val="000727A8"/>
    <w:rsid w:val="000A6882"/>
    <w:rsid w:val="000C1939"/>
    <w:rsid w:val="000E6BDF"/>
    <w:rsid w:val="002176FD"/>
    <w:rsid w:val="002F594F"/>
    <w:rsid w:val="003A2BDF"/>
    <w:rsid w:val="003C33E2"/>
    <w:rsid w:val="004D1D65"/>
    <w:rsid w:val="005012C9"/>
    <w:rsid w:val="00563BA8"/>
    <w:rsid w:val="005A6488"/>
    <w:rsid w:val="005C3692"/>
    <w:rsid w:val="00605DC1"/>
    <w:rsid w:val="00622E6C"/>
    <w:rsid w:val="00626280"/>
    <w:rsid w:val="00653647"/>
    <w:rsid w:val="00662D53"/>
    <w:rsid w:val="006A4E26"/>
    <w:rsid w:val="006F1C98"/>
    <w:rsid w:val="007226A2"/>
    <w:rsid w:val="007B5813"/>
    <w:rsid w:val="007F6D9D"/>
    <w:rsid w:val="00912EBB"/>
    <w:rsid w:val="009312CF"/>
    <w:rsid w:val="00944EB6"/>
    <w:rsid w:val="00990EA0"/>
    <w:rsid w:val="009E3C16"/>
    <w:rsid w:val="00A0500F"/>
    <w:rsid w:val="00AE6BF0"/>
    <w:rsid w:val="00B504E7"/>
    <w:rsid w:val="00B8322A"/>
    <w:rsid w:val="00B8591A"/>
    <w:rsid w:val="00C062F6"/>
    <w:rsid w:val="00C93916"/>
    <w:rsid w:val="00CA7C2D"/>
    <w:rsid w:val="00CC6921"/>
    <w:rsid w:val="00CF0BF3"/>
    <w:rsid w:val="00D71D49"/>
    <w:rsid w:val="00D97E7A"/>
    <w:rsid w:val="00DB4C32"/>
    <w:rsid w:val="00E06C63"/>
    <w:rsid w:val="00E139B1"/>
    <w:rsid w:val="00E31FFC"/>
    <w:rsid w:val="00E83119"/>
    <w:rsid w:val="00E90F68"/>
    <w:rsid w:val="00EA1377"/>
    <w:rsid w:val="00EF167D"/>
    <w:rsid w:val="00FC6953"/>
    <w:rsid w:val="00FE07A8"/>
    <w:rsid w:val="00FF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C61F0-4770-4C20-8040-9CE2D96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9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9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3"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0EA0"/>
    <w:pPr>
      <w:spacing w:after="0" w:line="288" w:lineRule="auto"/>
      <w:jc w:val="both"/>
    </w:pPr>
    <w:rPr>
      <w:sz w:val="20"/>
    </w:rPr>
  </w:style>
  <w:style w:type="paragraph" w:styleId="Heading1">
    <w:name w:val="heading 1"/>
    <w:basedOn w:val="Normal"/>
    <w:next w:val="Normal"/>
    <w:link w:val="Heading1Char"/>
    <w:uiPriority w:val="9"/>
    <w:semiHidden/>
    <w:qFormat/>
    <w:rsid w:val="00563BA8"/>
    <w:pPr>
      <w:keepNext/>
      <w:keepLines/>
      <w:spacing w:before="240"/>
      <w:outlineLvl w:val="0"/>
    </w:pPr>
    <w:rPr>
      <w:rFonts w:asciiTheme="majorHAnsi" w:eastAsiaTheme="majorEastAsia" w:hAnsiTheme="majorHAnsi" w:cstheme="majorBidi"/>
      <w:color w:val="3E8E8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pPr>
    <w:rPr>
      <w:b/>
    </w:rPr>
  </w:style>
  <w:style w:type="paragraph" w:styleId="BodyText">
    <w:name w:val="Body Text"/>
    <w:basedOn w:val="Normal"/>
    <w:link w:val="BodyTextChar"/>
    <w:uiPriority w:val="54"/>
    <w:qFormat/>
    <w:rsid w:val="00563BA8"/>
    <w:pPr>
      <w:spacing w:after="240"/>
    </w:pPr>
  </w:style>
  <w:style w:type="character" w:customStyle="1" w:styleId="BodyTextChar">
    <w:name w:val="Body Text Char"/>
    <w:basedOn w:val="DefaultParagraphFont"/>
    <w:link w:val="BodyText"/>
    <w:uiPriority w:val="54"/>
    <w:rsid w:val="00563BA8"/>
    <w:rPr>
      <w:rFonts w:ascii="Arial" w:hAnsi="Arial"/>
      <w:sz w:val="20"/>
    </w:rPr>
  </w:style>
  <w:style w:type="paragraph" w:customStyle="1" w:styleId="Appendix1Heading">
    <w:name w:val="Appendix 1 Heading"/>
    <w:basedOn w:val="BodyText"/>
    <w:uiPriority w:val="89"/>
    <w:qFormat/>
    <w:rsid w:val="00563BA8"/>
    <w:pPr>
      <w:keepNext/>
      <w:numPr>
        <w:ilvl w:val="1"/>
        <w:numId w:val="17"/>
      </w:numPr>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pPr>
    <w:rPr>
      <w:b/>
    </w:rPr>
  </w:style>
  <w:style w:type="paragraph" w:customStyle="1" w:styleId="AppendixSub">
    <w:name w:val="Appendix Sub"/>
    <w:basedOn w:val="BodyText"/>
    <w:next w:val="Appendix1Heading"/>
    <w:uiPriority w:val="86"/>
    <w:qFormat/>
    <w:rsid w:val="00563BA8"/>
    <w:pPr>
      <w:keepNext/>
      <w:numPr>
        <w:numId w:val="17"/>
      </w:numPr>
      <w:jc w:val="center"/>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qFormat/>
    <w:rsid w:val="007F6D9D"/>
    <w:pPr>
      <w:ind w:left="720" w:hanging="720"/>
    </w:pPr>
    <w:rPr>
      <w:rFonts w:ascii="Arial" w:hAnsi="Arial"/>
      <w:szCs w:val="20"/>
    </w:r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qFormat/>
    <w:rsid w:val="007F6D9D"/>
    <w:pPr>
      <w:ind w:left="720" w:hanging="720"/>
    </w:pPr>
    <w:rPr>
      <w:rFonts w:ascii="Arial" w:hAnsi="Arial"/>
      <w:szCs w:val="20"/>
    </w:r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qFormat/>
    <w:rsid w:val="007F6D9D"/>
    <w:pPr>
      <w:tabs>
        <w:tab w:val="left" w:pos="720"/>
      </w:tabs>
      <w:ind w:left="1440" w:hanging="1440"/>
    </w:pPr>
    <w:rPr>
      <w:rFonts w:ascii="Arial" w:hAnsi="Arial"/>
      <w:szCs w:val="20"/>
    </w:r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qFormat/>
    <w:rsid w:val="007F6D9D"/>
    <w:pPr>
      <w:tabs>
        <w:tab w:val="left" w:pos="1440"/>
      </w:tabs>
      <w:ind w:left="2160" w:hanging="2160"/>
    </w:pPr>
    <w:rPr>
      <w:rFonts w:ascii="Arial" w:hAnsi="Arial"/>
      <w:szCs w:val="20"/>
    </w:r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qFormat/>
    <w:rsid w:val="007F6D9D"/>
    <w:pPr>
      <w:tabs>
        <w:tab w:val="left" w:pos="2160"/>
      </w:tabs>
      <w:ind w:left="2880" w:hanging="2880"/>
    </w:pPr>
    <w:rPr>
      <w:rFonts w:ascii="Arial" w:hAnsi="Arial"/>
      <w:szCs w:val="20"/>
    </w:r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qFormat/>
    <w:rsid w:val="007F6D9D"/>
    <w:pPr>
      <w:tabs>
        <w:tab w:val="left" w:pos="2880"/>
      </w:tabs>
      <w:ind w:left="3600" w:hanging="3600"/>
    </w:pPr>
    <w:rPr>
      <w:rFonts w:ascii="Arial" w:hAnsi="Arial"/>
      <w:szCs w:val="20"/>
    </w:r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qFormat/>
    <w:rsid w:val="007F6D9D"/>
    <w:pPr>
      <w:tabs>
        <w:tab w:val="left" w:pos="3600"/>
      </w:tabs>
      <w:ind w:left="4321" w:hanging="4321"/>
    </w:pPr>
    <w:rPr>
      <w:rFonts w:ascii="Arial" w:hAnsi="Arial"/>
      <w:szCs w:val="20"/>
    </w:r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qFormat/>
    <w:rsid w:val="007F6D9D"/>
    <w:pPr>
      <w:tabs>
        <w:tab w:val="left" w:pos="4321"/>
      </w:tabs>
      <w:ind w:left="5041" w:hanging="5041"/>
    </w:pPr>
    <w:rPr>
      <w:rFonts w:ascii="Arial" w:hAnsi="Arial"/>
      <w:szCs w:val="20"/>
    </w:r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59"/>
    <w:qFormat/>
    <w:rsid w:val="00563BA8"/>
    <w:pPr>
      <w:numPr>
        <w:numId w:val="19"/>
      </w:numPr>
    </w:pPr>
  </w:style>
  <w:style w:type="paragraph" w:customStyle="1" w:styleId="Bullets2">
    <w:name w:val="Bullets 2"/>
    <w:basedOn w:val="BodyText"/>
    <w:uiPriority w:val="59"/>
    <w:qFormat/>
    <w:rsid w:val="00563BA8"/>
    <w:pPr>
      <w:numPr>
        <w:ilvl w:val="1"/>
        <w:numId w:val="19"/>
      </w:numPr>
    </w:pPr>
  </w:style>
  <w:style w:type="paragraph" w:customStyle="1" w:styleId="Bullets3">
    <w:name w:val="Bullets 3"/>
    <w:basedOn w:val="BodyText"/>
    <w:uiPriority w:val="59"/>
    <w:qFormat/>
    <w:rsid w:val="00563BA8"/>
    <w:pPr>
      <w:numPr>
        <w:ilvl w:val="2"/>
        <w:numId w:val="19"/>
      </w:numPr>
    </w:pPr>
  </w:style>
  <w:style w:type="paragraph" w:customStyle="1" w:styleId="Bullets4">
    <w:name w:val="Bullets 4"/>
    <w:basedOn w:val="BodyText"/>
    <w:uiPriority w:val="59"/>
    <w:qFormat/>
    <w:rsid w:val="00563BA8"/>
    <w:pPr>
      <w:numPr>
        <w:ilvl w:val="3"/>
        <w:numId w:val="19"/>
      </w:numPr>
    </w:pPr>
  </w:style>
  <w:style w:type="paragraph" w:customStyle="1" w:styleId="Bullets5">
    <w:name w:val="Bullets 5"/>
    <w:basedOn w:val="BodyText"/>
    <w:uiPriority w:val="59"/>
    <w:qFormat/>
    <w:rsid w:val="00563BA8"/>
    <w:pPr>
      <w:numPr>
        <w:ilvl w:val="4"/>
        <w:numId w:val="19"/>
      </w:numPr>
    </w:pPr>
  </w:style>
  <w:style w:type="paragraph" w:customStyle="1" w:styleId="Bullets6">
    <w:name w:val="Bullets 6"/>
    <w:basedOn w:val="BodyText"/>
    <w:uiPriority w:val="59"/>
    <w:qFormat/>
    <w:rsid w:val="00563BA8"/>
    <w:pPr>
      <w:numPr>
        <w:ilvl w:val="5"/>
        <w:numId w:val="19"/>
      </w:numPr>
    </w:pPr>
  </w:style>
  <w:style w:type="paragraph" w:customStyle="1" w:styleId="Bullets7">
    <w:name w:val="Bullets 7"/>
    <w:basedOn w:val="BodyText"/>
    <w:uiPriority w:val="59"/>
    <w:qFormat/>
    <w:rsid w:val="00563BA8"/>
    <w:pPr>
      <w:numPr>
        <w:ilvl w:val="6"/>
        <w:numId w:val="19"/>
      </w:numPr>
    </w:pPr>
  </w:style>
  <w:style w:type="paragraph" w:customStyle="1" w:styleId="Bullets8">
    <w:name w:val="Bullets 8"/>
    <w:basedOn w:val="BodyText"/>
    <w:uiPriority w:val="59"/>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pPr>
      <w:outlineLvl w:val="0"/>
    </w:pPr>
  </w:style>
  <w:style w:type="paragraph" w:customStyle="1" w:styleId="CentredHeadingTOC">
    <w:name w:val="Centred Heading (TOC)"/>
    <w:basedOn w:val="CentredHeadingCapsTOC"/>
    <w:next w:val="BodyText"/>
    <w:uiPriority w:val="19"/>
    <w:rsid w:val="00AE6BF0"/>
    <w:pPr>
      <w:outlineLvl w:val="9"/>
    </w:pPr>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paragraph" w:customStyle="1" w:styleId="LogoPlaceholder">
    <w:name w:val="Logo Placeholder"/>
    <w:basedOn w:val="Normal"/>
    <w:uiPriority w:val="99"/>
    <w:qFormat/>
    <w:rsid w:val="00563BA8"/>
    <w:pPr>
      <w:spacing w:after="680"/>
    </w:pPr>
    <w:rPr>
      <w:noProof/>
    </w:rPr>
  </w:style>
  <w:style w:type="paragraph" w:customStyle="1" w:styleId="Note1">
    <w:name w:val="Note 1"/>
    <w:basedOn w:val="BodyText"/>
    <w:uiPriority w:val="74"/>
    <w:qFormat/>
    <w:rsid w:val="00563BA8"/>
    <w:pPr>
      <w:numPr>
        <w:numId w:val="22"/>
      </w:numPr>
    </w:pPr>
  </w:style>
  <w:style w:type="paragraph" w:customStyle="1" w:styleId="Note2">
    <w:name w:val="Note 2"/>
    <w:basedOn w:val="BodyText"/>
    <w:uiPriority w:val="74"/>
    <w:qFormat/>
    <w:rsid w:val="00563BA8"/>
    <w:pPr>
      <w:numPr>
        <w:ilvl w:val="1"/>
        <w:numId w:val="22"/>
      </w:numPr>
    </w:pPr>
  </w:style>
  <w:style w:type="paragraph" w:customStyle="1" w:styleId="Note3">
    <w:name w:val="Note 3"/>
    <w:basedOn w:val="BodyText"/>
    <w:uiPriority w:val="74"/>
    <w:qFormat/>
    <w:rsid w:val="00563BA8"/>
    <w:pPr>
      <w:numPr>
        <w:ilvl w:val="2"/>
        <w:numId w:val="22"/>
      </w:numPr>
    </w:pPr>
  </w:style>
  <w:style w:type="paragraph" w:customStyle="1" w:styleId="Note4">
    <w:name w:val="Note 4"/>
    <w:basedOn w:val="BodyText"/>
    <w:uiPriority w:val="74"/>
    <w:qFormat/>
    <w:rsid w:val="00563BA8"/>
    <w:pPr>
      <w:numPr>
        <w:ilvl w:val="3"/>
        <w:numId w:val="22"/>
      </w:numPr>
    </w:pPr>
  </w:style>
  <w:style w:type="paragraph" w:customStyle="1" w:styleId="Note5">
    <w:name w:val="Note 5"/>
    <w:basedOn w:val="BodyText"/>
    <w:uiPriority w:val="74"/>
    <w:qFormat/>
    <w:rsid w:val="00563BA8"/>
    <w:pPr>
      <w:numPr>
        <w:ilvl w:val="4"/>
        <w:numId w:val="22"/>
      </w:numPr>
    </w:pPr>
  </w:style>
  <w:style w:type="paragraph" w:customStyle="1" w:styleId="Note6">
    <w:name w:val="Note 6"/>
    <w:basedOn w:val="BodyText"/>
    <w:uiPriority w:val="74"/>
    <w:qFormat/>
    <w:rsid w:val="00563BA8"/>
    <w:pPr>
      <w:numPr>
        <w:ilvl w:val="5"/>
        <w:numId w:val="22"/>
      </w:numPr>
    </w:pPr>
  </w:style>
  <w:style w:type="paragraph" w:customStyle="1" w:styleId="Note7">
    <w:name w:val="Note 7"/>
    <w:basedOn w:val="BodyText"/>
    <w:uiPriority w:val="74"/>
    <w:qFormat/>
    <w:rsid w:val="00563BA8"/>
    <w:pPr>
      <w:numPr>
        <w:ilvl w:val="6"/>
        <w:numId w:val="22"/>
      </w:numPr>
    </w:pPr>
  </w:style>
  <w:style w:type="paragraph" w:customStyle="1" w:styleId="Note8">
    <w:name w:val="Note 8"/>
    <w:basedOn w:val="BodyText"/>
    <w:uiPriority w:val="74"/>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9"/>
      </w:numPr>
    </w:pPr>
  </w:style>
  <w:style w:type="paragraph" w:customStyle="1" w:styleId="Parties2">
    <w:name w:val="Parties 2"/>
    <w:basedOn w:val="BodyText"/>
    <w:uiPriority w:val="19"/>
    <w:rsid w:val="00563BA8"/>
    <w:pPr>
      <w:numPr>
        <w:ilvl w:val="1"/>
        <w:numId w:val="29"/>
      </w:numPr>
    </w:pPr>
  </w:style>
  <w:style w:type="paragraph" w:customStyle="1" w:styleId="PrecedentNotes1">
    <w:name w:val="Precedent Notes 1"/>
    <w:basedOn w:val="BodyText"/>
    <w:uiPriority w:val="92"/>
    <w:qFormat/>
    <w:rsid w:val="00563BA8"/>
    <w:pPr>
      <w:numPr>
        <w:numId w:val="23"/>
      </w:numPr>
    </w:pPr>
  </w:style>
  <w:style w:type="paragraph" w:customStyle="1" w:styleId="PrecedentNotes2">
    <w:name w:val="Precedent Notes 2"/>
    <w:basedOn w:val="BodyText"/>
    <w:uiPriority w:val="92"/>
    <w:qFormat/>
    <w:rsid w:val="00563BA8"/>
    <w:pPr>
      <w:numPr>
        <w:ilvl w:val="1"/>
        <w:numId w:val="23"/>
      </w:numPr>
    </w:pPr>
  </w:style>
  <w:style w:type="paragraph" w:customStyle="1" w:styleId="PrecedentNotes3">
    <w:name w:val="Precedent Notes 3"/>
    <w:basedOn w:val="BodyText"/>
    <w:uiPriority w:val="92"/>
    <w:qFormat/>
    <w:rsid w:val="00563BA8"/>
    <w:pPr>
      <w:numPr>
        <w:ilvl w:val="2"/>
        <w:numId w:val="23"/>
      </w:numPr>
    </w:pPr>
  </w:style>
  <w:style w:type="paragraph" w:customStyle="1" w:styleId="PrecedentNotes4">
    <w:name w:val="Precedent Notes 4"/>
    <w:basedOn w:val="BodyText"/>
    <w:uiPriority w:val="92"/>
    <w:qFormat/>
    <w:rsid w:val="00563BA8"/>
    <w:pPr>
      <w:numPr>
        <w:ilvl w:val="3"/>
        <w:numId w:val="23"/>
      </w:numPr>
    </w:pPr>
  </w:style>
  <w:style w:type="paragraph" w:customStyle="1" w:styleId="Sch1Heading">
    <w:name w:val="Sch 1 Heading"/>
    <w:basedOn w:val="BodyText"/>
    <w:uiPriority w:val="79"/>
    <w:qFormat/>
    <w:rsid w:val="00563BA8"/>
    <w:pPr>
      <w:keepNext/>
      <w:numPr>
        <w:ilvl w:val="1"/>
        <w:numId w:val="26"/>
      </w:numPr>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pPr>
    <w:rPr>
      <w:b/>
    </w:rPr>
  </w:style>
  <w:style w:type="paragraph" w:customStyle="1" w:styleId="SchedulePart">
    <w:name w:val="Schedule Part"/>
    <w:basedOn w:val="BodyText"/>
    <w:next w:val="Sch1Heading"/>
    <w:uiPriority w:val="78"/>
    <w:qFormat/>
    <w:rsid w:val="00563BA8"/>
    <w:pPr>
      <w:keepNext/>
      <w:numPr>
        <w:ilvl w:val="1"/>
        <w:numId w:val="24"/>
      </w:numPr>
      <w:jc w:val="center"/>
      <w:outlineLvl w:val="4"/>
    </w:pPr>
    <w:rPr>
      <w:b/>
    </w:rPr>
  </w:style>
  <w:style w:type="paragraph" w:customStyle="1" w:styleId="ScheduleSub">
    <w:name w:val="Schedule Sub"/>
    <w:basedOn w:val="BodyText"/>
    <w:next w:val="Sch1Heading"/>
    <w:uiPriority w:val="77"/>
    <w:qFormat/>
    <w:rsid w:val="00563BA8"/>
    <w:pPr>
      <w:keepNext/>
      <w:numPr>
        <w:numId w:val="26"/>
      </w:numPr>
      <w:jc w:val="center"/>
      <w:outlineLvl w:val="3"/>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563BA8"/>
    <w:pPr>
      <w:numPr>
        <w:numId w:val="27"/>
      </w:numPr>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990EA0"/>
    <w:pPr>
      <w:tabs>
        <w:tab w:val="left" w:pos="720"/>
        <w:tab w:val="left" w:pos="1440"/>
        <w:tab w:val="right" w:leader="dot" w:pos="9072"/>
      </w:tabs>
      <w:ind w:left="720" w:right="357"/>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
    <w:semiHidden/>
    <w:rsid w:val="00563BA8"/>
    <w:rPr>
      <w:rFonts w:asciiTheme="majorHAnsi" w:eastAsiaTheme="majorEastAsia" w:hAnsiTheme="majorHAnsi" w:cstheme="majorBidi"/>
      <w:color w:val="3E8E89" w:themeColor="accent1" w:themeShade="BF"/>
      <w:sz w:val="32"/>
      <w:szCs w:val="32"/>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3C33E2"/>
    <w:rPr>
      <w:rFonts w:asciiTheme="minorHAnsi" w:hAnsiTheme="minorHAnsi"/>
      <w:sz w:val="20"/>
    </w:rPr>
  </w:style>
  <w:style w:type="character" w:styleId="PlaceholderText">
    <w:name w:val="Placeholder Text"/>
    <w:basedOn w:val="DefaultParagraphFont"/>
    <w:uiPriority w:val="99"/>
    <w:semiHidden/>
    <w:rsid w:val="00626280"/>
    <w:rPr>
      <w:color w:val="808080"/>
    </w:rPr>
  </w:style>
  <w:style w:type="paragraph" w:customStyle="1" w:styleId="TheAppendix">
    <w:name w:val="The Appendix"/>
    <w:basedOn w:val="BodyText"/>
    <w:next w:val="Normal"/>
    <w:uiPriority w:val="28"/>
    <w:qFormat/>
    <w:rsid w:val="00563BA8"/>
    <w:pPr>
      <w:keepNext/>
      <w:numPr>
        <w:numId w:val="28"/>
      </w:numPr>
      <w:jc w:val="center"/>
    </w:pPr>
    <w:rPr>
      <w:b/>
      <w:caps/>
      <w:szCs w:val="20"/>
    </w:rPr>
  </w:style>
  <w:style w:type="paragraph" w:customStyle="1" w:styleId="CoverDocumentTitle">
    <w:name w:val="Cover Document Title"/>
    <w:basedOn w:val="BodyText"/>
    <w:uiPriority w:val="94"/>
    <w:qFormat/>
    <w:rsid w:val="00563BA8"/>
    <w:pPr>
      <w:pBdr>
        <w:top w:val="single" w:sz="4" w:space="24" w:color="auto"/>
        <w:bottom w:val="single" w:sz="4" w:space="24" w:color="auto"/>
      </w:pBdr>
      <w:spacing w:before="720" w:after="600"/>
      <w:ind w:left="1985" w:right="1985"/>
      <w:jc w:val="center"/>
    </w:pPr>
    <w:rPr>
      <w:b/>
      <w:caps/>
      <w:szCs w:val="20"/>
    </w:rPr>
  </w:style>
  <w:style w:type="paragraph" w:customStyle="1" w:styleId="CoverDate">
    <w:name w:val="Cover Date"/>
    <w:basedOn w:val="BodyText"/>
    <w:uiPriority w:val="94"/>
    <w:qFormat/>
    <w:rsid w:val="00662D53"/>
    <w:pPr>
      <w:tabs>
        <w:tab w:val="left" w:pos="2370"/>
        <w:tab w:val="right" w:pos="6691"/>
      </w:tabs>
      <w:spacing w:before="4760"/>
    </w:pPr>
    <w:rPr>
      <w:rFonts w:eastAsia="Times New Roman" w:cs="Times New Roman"/>
      <w:color w:val="FFFFFF" w:themeColor="background1"/>
      <w:spacing w:val="2"/>
      <w:w w:val="105"/>
      <w:kern w:val="17"/>
      <w:sz w:val="17"/>
      <w:szCs w:val="20"/>
      <w:lang w:eastAsia="en-US"/>
    </w:rPr>
  </w:style>
  <w:style w:type="paragraph" w:customStyle="1" w:styleId="CoverDocumentDescription">
    <w:name w:val="Cover Document Description"/>
    <w:basedOn w:val="Subtitle"/>
    <w:uiPriority w:val="94"/>
    <w:qFormat/>
    <w:rsid w:val="00563BA8"/>
    <w:rPr>
      <w:iCs w:val="0"/>
    </w:rPr>
  </w:style>
  <w:style w:type="paragraph" w:styleId="Subtitle">
    <w:name w:val="Subtitle"/>
    <w:basedOn w:val="BodyText"/>
    <w:next w:val="BodyText"/>
    <w:link w:val="SubtitleChar"/>
    <w:uiPriority w:val="97"/>
    <w:rsid w:val="00944EB6"/>
    <w:pPr>
      <w:numPr>
        <w:ilvl w:val="1"/>
      </w:numPr>
      <w:spacing w:before="120" w:line="380" w:lineRule="exact"/>
      <w:jc w:val="left"/>
    </w:pPr>
    <w:rPr>
      <w:rFonts w:eastAsiaTheme="majorEastAsia" w:cstheme="majorBidi"/>
      <w:iCs/>
      <w:color w:val="FFFFFF" w:themeColor="background1"/>
      <w:spacing w:val="16"/>
      <w:w w:val="105"/>
      <w:kern w:val="32"/>
      <w:sz w:val="32"/>
      <w:szCs w:val="24"/>
      <w:lang w:eastAsia="en-US"/>
    </w:rPr>
  </w:style>
  <w:style w:type="character" w:customStyle="1" w:styleId="SubtitleChar">
    <w:name w:val="Subtitle Char"/>
    <w:basedOn w:val="DefaultParagraphFont"/>
    <w:link w:val="Subtitle"/>
    <w:uiPriority w:val="97"/>
    <w:rsid w:val="00944EB6"/>
    <w:rPr>
      <w:rFonts w:ascii="Arial" w:eastAsiaTheme="majorEastAsia" w:hAnsi="Arial" w:cstheme="majorBidi"/>
      <w:iCs/>
      <w:color w:val="FFFFFF" w:themeColor="background1"/>
      <w:spacing w:val="16"/>
      <w:w w:val="105"/>
      <w:kern w:val="32"/>
      <w:sz w:val="32"/>
      <w:szCs w:val="24"/>
      <w:lang w:eastAsia="en-US"/>
    </w:rPr>
  </w:style>
  <w:style w:type="paragraph" w:styleId="Title">
    <w:name w:val="Title"/>
    <w:basedOn w:val="BodyText"/>
    <w:next w:val="BodyText"/>
    <w:link w:val="TitleChar"/>
    <w:uiPriority w:val="97"/>
    <w:rsid w:val="00944EB6"/>
    <w:pPr>
      <w:pBdr>
        <w:bottom w:val="single" w:sz="4" w:space="6" w:color="5AB7B2" w:themeColor="accent1"/>
      </w:pBdr>
      <w:spacing w:after="0" w:line="600" w:lineRule="exact"/>
      <w:ind w:right="2041"/>
      <w:jc w:val="left"/>
    </w:pPr>
    <w:rPr>
      <w:rFonts w:ascii="Arial Narrow" w:eastAsia="Times New Roman" w:hAnsi="Arial Narrow" w:cs="Times New Roman"/>
      <w:caps/>
      <w:color w:val="5AB7B2" w:themeColor="accent1"/>
      <w:spacing w:val="26"/>
      <w:w w:val="105"/>
      <w:kern w:val="52"/>
      <w:sz w:val="52"/>
      <w:szCs w:val="20"/>
      <w:lang w:eastAsia="en-US"/>
    </w:rPr>
  </w:style>
  <w:style w:type="character" w:customStyle="1" w:styleId="TitleChar">
    <w:name w:val="Title Char"/>
    <w:basedOn w:val="DefaultParagraphFont"/>
    <w:link w:val="Title"/>
    <w:uiPriority w:val="97"/>
    <w:rsid w:val="00944EB6"/>
    <w:rPr>
      <w:rFonts w:ascii="Arial Narrow" w:eastAsia="Times New Roman" w:hAnsi="Arial Narrow" w:cs="Times New Roman"/>
      <w:caps/>
      <w:color w:val="5AB7B2" w:themeColor="accent1"/>
      <w:spacing w:val="26"/>
      <w:w w:val="105"/>
      <w:kern w:val="52"/>
      <w:sz w:val="52"/>
      <w:szCs w:val="20"/>
      <w:lang w:eastAsia="en-US"/>
    </w:rPr>
  </w:style>
  <w:style w:type="paragraph" w:customStyle="1" w:styleId="CoverDateMktg">
    <w:name w:val="Cover Date (Mktg)"/>
    <w:basedOn w:val="BodyText"/>
    <w:link w:val="CoverDateMktgChar"/>
    <w:uiPriority w:val="97"/>
    <w:rsid w:val="002176FD"/>
    <w:pPr>
      <w:spacing w:before="4960" w:line="24" w:lineRule="exact"/>
      <w:jc w:val="left"/>
    </w:pPr>
    <w:rPr>
      <w:rFonts w:eastAsia="Times New Roman" w:cs="Times New Roman"/>
      <w:color w:val="FFFFFF" w:themeColor="background1"/>
      <w:spacing w:val="2"/>
      <w:w w:val="105"/>
      <w:kern w:val="17"/>
      <w:sz w:val="17"/>
      <w:szCs w:val="20"/>
      <w:lang w:eastAsia="en-US"/>
    </w:rPr>
  </w:style>
  <w:style w:type="character" w:customStyle="1" w:styleId="CoverDateMktgChar">
    <w:name w:val="Cover Date (Mktg) Char"/>
    <w:basedOn w:val="BodyTextChar"/>
    <w:link w:val="CoverDateMktg"/>
    <w:uiPriority w:val="97"/>
    <w:rsid w:val="002176FD"/>
    <w:rPr>
      <w:rFonts w:ascii="Arial" w:eastAsia="Times New Roman" w:hAnsi="Arial" w:cs="Times New Roman"/>
      <w:color w:val="FFFFFF" w:themeColor="background1"/>
      <w:spacing w:val="2"/>
      <w:w w:val="105"/>
      <w:kern w:val="17"/>
      <w:sz w:val="17"/>
      <w:szCs w:val="20"/>
      <w:lang w:eastAsia="en-US"/>
    </w:rPr>
  </w:style>
  <w:style w:type="character" w:styleId="Hyperlink">
    <w:name w:val="Hyperlink"/>
    <w:basedOn w:val="DefaultParagraphFont"/>
    <w:uiPriority w:val="99"/>
    <w:semiHidden/>
    <w:rsid w:val="007B5813"/>
    <w:rPr>
      <w:color w:val="0645AD" w:themeColor="hyperlink"/>
      <w:u w:val="single"/>
    </w:rPr>
  </w:style>
  <w:style w:type="paragraph" w:styleId="ListParagraph">
    <w:name w:val="List Paragraph"/>
    <w:basedOn w:val="Normal"/>
    <w:uiPriority w:val="34"/>
    <w:semiHidden/>
    <w:qFormat/>
    <w:rsid w:val="007B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institute-for-apprenticeships" TargetMode="External"/><Relationship Id="rId13" Type="http://schemas.openxmlformats.org/officeDocument/2006/relationships/hyperlink" Target="https://www.addleshawgoddard.com/en/specialisms/employment-incentives/employee-incentiv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ddleshawgoddard.com/en/insights/insights-briefings/2017/employment/employment-up-to-date-march-2017/tier-2-update-immigration-skills-charge-and-application-for-annual-allocation-of-unrestricted-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dleshawgoddard.com/en/events/apprenticeship-levy-roundtabl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ddleshawgoddard.com/en/insights/insights-briefings/2017/employment/apprenticeship-lev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ddleshawgoddard.com/en/insights/insights-briefings/2017/retail-and-consumer/retail-and-consumer-newsletter-february-2017/gender-pay-gap/" TargetMode="External"/><Relationship Id="rId14" Type="http://schemas.openxmlformats.org/officeDocument/2006/relationships/hyperlink" Target="https://www.gov.uk/government/news/tax-free-childcare-launches-today-for-children-under-fou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ument.dotx" TargetMode="External"/></Relationships>
</file>

<file path=word/theme/theme1.xml><?xml version="1.0" encoding="utf-8"?>
<a:theme xmlns:a="http://schemas.openxmlformats.org/drawingml/2006/main" name="Teal">
  <a:themeElements>
    <a:clrScheme name="Teal">
      <a:dk1>
        <a:srgbClr val="000000"/>
      </a:dk1>
      <a:lt1>
        <a:srgbClr val="FFFFFF"/>
      </a:lt1>
      <a:dk2>
        <a:srgbClr val="55585A"/>
      </a:dk2>
      <a:lt2>
        <a:srgbClr val="FFFFFF"/>
      </a:lt2>
      <a:accent1>
        <a:srgbClr val="5AB7B2"/>
      </a:accent1>
      <a:accent2>
        <a:srgbClr val="A4BCC4"/>
      </a:accent2>
      <a:accent3>
        <a:srgbClr val="DB8823"/>
      </a:accent3>
      <a:accent4>
        <a:srgbClr val="CC3524"/>
      </a:accent4>
      <a:accent5>
        <a:srgbClr val="C9A978"/>
      </a:accent5>
      <a:accent6>
        <a:srgbClr val="C1B45F"/>
      </a:accent6>
      <a:hlink>
        <a:srgbClr val="0645AD"/>
      </a:hlink>
      <a:folHlink>
        <a:srgbClr val="0B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Document.dotx</Template>
  <TotalTime>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Lofthouse, Renee</cp:lastModifiedBy>
  <cp:revision>3</cp:revision>
  <dcterms:created xsi:type="dcterms:W3CDTF">2017-05-04T14:12:00Z</dcterms:created>
  <dcterms:modified xsi:type="dcterms:W3CDTF">2017-05-05T13:03:00Z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7. RECAP OF THE KEY EMPLOYMENT LAW REFORMS COMING INTO FORCE IN MARCH AND APRIL 2017.DOCX [10-10250138-1]</vt:lpwstr>
  </property>
  <property fmtid="{D5CDD505-2E9C-101B-9397-08002B2CF9AE}" pid="4" name="DocWasProtected">
    <vt:lpwstr>False</vt:lpwstr>
  </property>
  <property fmtid="{D5CDD505-2E9C-101B-9397-08002B2CF9AE}" pid="5" name="Document Reference">
    <vt:lpwstr>7. RECAP OF THE KEY EMPLOYMENT LAW REFORMS COMING INTO FORCE IN MARCH AND APRIL 2017.DOCX [10-10250138-1]</vt:lpwstr>
  </property>
</Properties>
</file>